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evtctxlist</w:t>
      </w:r>
    </w:p>
    <w:p>
      <w:r>
        <w:t>Loads the list of event contexts.</w:t>
      </w:r>
    </w:p>
    <w:p>
      <w:pPr>
        <w:pStyle w:val="4"/>
      </w:pPr>
      <w:r>
        <w:t>Syntax</w:t>
      </w:r>
    </w:p>
    <w:p>
      <w:pPr>
        <w:pStyle w:val="ab"/>
      </w:pPr>
      <w:r>
        <w:t>evtctxlist [topic=STR]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topic=STR</w:t>
      </w:r>
    </w:p>
    <w:p>
      <w:pPr>
        <w:ind w:left="400"/>
      </w:pPr>
      <w:r>
        <w:t>Name of event context. The command loads the event context with a name that matches the topic (default: the entire list of event topics).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