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 만료 정책 조회</w:t>
      </w:r>
    </w:p>
    <w:p>
      <w:r>
        <w:t>시스템 전체에 적용되는 암호 만료 기한 기본값을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/api/model/global-password-expiration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https://HOSTNAME/api/model/global-password-expiration</w:t>
      </w:r>
    </w:p>
    <w:p>
      <w:pPr>
        <w:pStyle w:val="4"/>
      </w:pPr>
      <w:r>
        <w:t>정상 응답</w:t>
      </w:r>
    </w:p>
    <w:p>
      <w:pPr>
        <w:pStyle w:val="ae"/>
      </w:pPr>
      <w:r>
        <w:t>{"days": 365}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