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로그인 허용 IP 조회</w:t>
      </w:r>
    </w:p>
    <w:p>
      <w:r>
        <w:t>시스템 전체에 기본값으로 적용되는 로그인 허용 IP 주소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/api/model/global-trust-hosts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https://HOSTNAME/api/model/global-trust-hosts</w:t>
      </w:r>
    </w:p>
    <w:p>
      <w:pPr>
        <w:pStyle w:val="4"/>
      </w:pPr>
      <w:r>
        <w:t>정상 응답</w:t>
      </w:r>
    </w:p>
    <w:p>
      <w:pPr>
        <w:pStyle w:val="ae"/>
      </w:pPr>
      <w:r>
        <w:t>{"hosts": ["127.0.0.1"]}</w:t>
      </w:r>
    </w:p>
    <w:p>
      <w:pPr>
        <w:numPr>
          <w:numId w:val="6"/>
        </w:numPr>
        <w:spacing w:before="0" w:after="0"/>
        <w:ind w:left="360" w:hanging="360"/>
      </w:pPr>
      <w:r>
        <w:t>hosts: IP 주소 형식 문자열의 배열 혹은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