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차트</w:t>
      </w:r>
    </w:p>
    <w:p>
      <w:r>
        <w:t>차트 위젯은 데이터 쿼리로 가져온 결과를 실시간으로 도표 형태로 시각화하는 위젯입니다.</w:t>
      </w:r>
    </w:p>
    <w:p>
      <w:pPr>
        <w:pStyle w:val="a7"/>
      </w:pPr>
      <w:r>
        <w:t>차트가 표현할 수 있는 것</w:t>
      </w:r>
    </w:p>
    <w:p>
      <w:r>
        <w:t>차트는 쿼리해서 가져온 데이터를 가공하여 다음과 같이 활용합니다.</w:t>
      </w:r>
    </w:p>
    <w:p>
      <w:pPr>
        <w:numPr>
          <w:numId w:val="6"/>
        </w:numPr>
        <w:spacing w:before="0" w:after="0"/>
        <w:ind w:left="360" w:hanging="360"/>
      </w:pPr>
      <w:r>
        <w:t>독립 변수(필드)에 대한 종속 변수(필드)의 값의 관계</w:t>
      </w:r>
    </w:p>
    <w:p>
      <w:pPr>
        <w:numPr>
          <w:numId w:val="7"/>
        </w:numPr>
        <w:spacing w:before="0" w:after="0"/>
        <w:ind w:left="720" w:hanging="360"/>
      </w:pPr>
      <w:r>
        <w:t>하나 이상의 종속 변수가 갖는 변화를 표현</w:t>
      </w:r>
    </w:p>
    <w:p>
      <w:pPr>
        <w:numPr>
          <w:numId w:val="7"/>
        </w:numPr>
        <w:spacing w:before="0" w:after="0"/>
        <w:ind w:left="720" w:hanging="360"/>
      </w:pPr>
      <w:r>
        <w:t>시간 경과에 따른 종속 변수의 변화를 표현</w:t>
      </w:r>
    </w:p>
    <w:p>
      <w:pPr>
        <w:numPr>
          <w:numId w:val="6"/>
        </w:numPr>
        <w:spacing w:before="0" w:after="0"/>
        <w:ind w:left="360" w:hanging="360"/>
      </w:pPr>
      <w:r>
        <w:t>독립 변수(필드) 값의 종류별로 종속 변수(필드)의 수량, 분포를 표현</w:t>
      </w:r>
    </w:p>
    <w:p>
      <w:pPr>
        <w:numPr>
          <w:numId w:val="6"/>
        </w:numPr>
        <w:spacing w:before="0" w:after="0"/>
        <w:ind w:left="360" w:hanging="360"/>
      </w:pPr>
      <w:r>
        <w:t>특정 필드 값의 범위와 중앙값을 표현</w:t>
      </w:r>
    </w:p>
    <w:p>
      <w:r>
        <w:t>차트는 종류에 따라 공통 속성과 고유 속성을 갖고 있습니다. 차트로 표현할 목적을 고려해 표현하기 적합한 차트의 종류를 선택하십시오.</w:t>
      </w:r>
    </w:p>
    <w:p>
      <w:pPr>
        <w:pStyle w:val="a7"/>
      </w:pPr>
      <w:r>
        <w:t>사용자 상호 작용</w:t>
      </w:r>
    </w:p>
    <w:p>
      <w:pPr>
        <w:pStyle w:val="a7"/>
      </w:pPr>
      <w:r>
        <w:t>이벤트</w:t>
      </w:r>
    </w:p>
    <w:p>
      <w:r>
        <w:t xml:space="preserve">차트 위젯에서 사용자가 클릭하거나, 차트 영역을 드래그하면 이것을 </w:t>
      </w:r>
      <w:hyperlink r:id="rId10">
        <w:r>
          <w:rPr>
            <w:rStyle w:val="a6"/>
          </w:rPr>
          <w:t>이벤트</w:t>
        </w:r>
      </w:hyperlink>
      <w:r>
        <w:t>로 간주해 동작하는 위젯이 있습니다. 위젯이 처리할수 있는 이벤트는 각 위젯에 대한 설명에서 확인할 수 있습니다.</w:t>
      </w:r>
    </w:p>
    <w:p>
      <w:pPr>
        <w:pStyle w:val="a7"/>
      </w:pPr>
      <w:r>
        <w:t>차트에서 특정한 범례 항목 보기/숨기기</w:t>
      </w:r>
    </w:p>
    <w:p>
      <w:r>
        <w:t>위젯은 모든 범례 항목(종속 변수)을 차트에 표현합니다. 특정한 항목을 차트에서 제외하거나, 다시 포함시키려면 범례에 표시된 항목(종속 변수 필드의 이름)을 클릭하십시오. 차트에서 숨겨진 범례 항목은 다음 그림에서와 같이 회색으로 표시됩니다.</w:t>
      </w:r>
    </w:p>
    <w:p>
      <w:r>
        <w:drawing>
          <wp:inline distT="0" distR="0" distB="0" distL="0">
            <wp:extent cx="5715000" cy="3060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ui/events" TargetMode="External" Type="http://schemas.openxmlformats.org/officeDocument/2006/relationships/hyperlink"/><Relationship Id="rId11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