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워크플로우 관리</w:t>
      </w:r>
    </w:p>
    <w:p>
      <w:pPr>
        <w:pStyle w:val="4"/>
      </w:pPr>
      <w:r>
        <w:t>워크플로우 추가</w:t>
      </w:r>
    </w:p>
    <w:p>
      <w:r>
        <w:t>워크플로우를 추가하는 방법은 다음과 같습니다.</w:t>
      </w:r>
    </w:p>
    <w:p>
      <w:r>
        <w:rPr>
          <w:b w:val="on"/>
        </w:rPr>
        <w:t>쿼리 &gt; 워크플로우</w:t>
      </w:r>
      <w:r>
        <w:t xml:space="preserve">에서 도구 모음에 있는 </w:t>
      </w:r>
      <w:r>
        <w:rPr>
          <w:b w:val="on"/>
        </w:rPr>
        <w:t>생성</w:t>
      </w:r>
      <w:r>
        <w:t>을 누릅니다.</w:t>
      </w:r>
    </w:p>
    <w:p>
      <w:r>
        <w:drawing>
          <wp:inline distT="0" distR="0" distB="0" distL="0">
            <wp:extent cx="5715000" cy="889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워크플로우 생성</w:t>
      </w:r>
      <w:r>
        <w:t xml:space="preserve"> 화면에서 기본 속성과 실행 방식을 지정합니다.</w:t>
      </w:r>
    </w:p>
    <w:p>
      <w:r>
        <w:drawing>
          <wp:inline distT="0" distR="0" distB="0" distL="0">
            <wp:extent cx="5715000" cy="2654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활성화</w:t>
      </w:r>
      <w:r>
        <w:t>: 워크플로우의 활성화 여부(기본값: 선택)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워크플로우를 식별할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워크플로우에 대한 설명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실행 방식</w:t>
        </w:r>
      </w:hyperlink>
      <w:r>
        <w:t>(기본값: 직접 실행).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직접 실행</w:t>
      </w:r>
      <w:r>
        <w:t>: 사용자가 직접 실행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파일 변경</w:t>
      </w:r>
      <w:r>
        <w:t>: 파일의 변경이 탐지되었을 때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예약 일정</w:t>
      </w:r>
      <w:r>
        <w:t>: 예약한 일정에 따라 실행</w:t>
      </w:r>
    </w:p>
    <w:p>
      <w:r>
        <w:t xml:space="preserve">태스크를 구성합니다. 자세한 내용은 </w:t>
      </w:r>
      <w:hyperlink r:id="rId13">
        <w:r>
          <w:rPr>
            <w:rStyle w:val="a6"/>
          </w:rPr>
          <w:t>태스크 관리</w:t>
        </w:r>
      </w:hyperlink>
      <w:r>
        <w:t>를 참고하십시오.</w:t>
      </w:r>
    </w:p>
    <w:p>
      <w:r>
        <w:drawing>
          <wp:inline distT="0" distR="0" distB="0" distL="0">
            <wp:extent cx="5715000" cy="2463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이름</w:t>
      </w:r>
      <w:r>
        <w:t>: 태스크를 식별할 이름. "X단계 작업"이라는 이름으로 기본 이름이 제공됩니다.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설명</w:t>
      </w:r>
      <w:r>
        <w:t>: 태스크에 대한 설명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선행 작업</w:t>
      </w:r>
      <w:r>
        <w:t>: 태스크를 실행하기 전에 먼저 완료되어야 하는 태스크. 첫번째 태스크는 이 속성이 없습니다.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: </w:t>
      </w:r>
      <w:hyperlink r:id="rId15">
        <w:r>
          <w:rPr>
            <w:rStyle w:val="a6"/>
          </w:rPr>
          <w:t>태스크 유형</w:t>
        </w:r>
      </w:hyperlink>
      <w:r>
        <w:t>(기본값: 쿼리 실행). 유형에 따라 지정할 수 있는 속성에 차이가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입력 매개변수</w:t>
      </w:r>
      <w:r>
        <w:t>: 입력으로 받을 매개변수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출력 매개변수</w:t>
      </w:r>
      <w:r>
        <w:t>: 태스크 실행 결과를 저장할 매개변수</w:t>
      </w:r>
    </w:p>
    <w:p>
      <w:r>
        <w:t xml:space="preserve">모든 작업이 완료되었으면 </w:t>
      </w:r>
      <w:r>
        <w:rPr>
          <w:b w:val="on"/>
        </w:rPr>
        <w:t>확인</w:t>
      </w:r>
      <w:r>
        <w:t>을 눌러서 워크플로우를 생성합니다.</w:t>
      </w:r>
    </w:p>
    <w:p>
      <w:pPr>
        <w:pStyle w:val="4"/>
      </w:pPr>
      <w:r>
        <w:t>워크플로우 복제</w:t>
      </w:r>
    </w:p>
    <w:p>
      <w:r>
        <w:t>워크플로우를 복제한 뒤에 수정해서 사용할 수 있습니다. 워크플로우를 복제하려면,</w:t>
      </w:r>
    </w:p>
    <w:p>
      <w:r>
        <w:drawing>
          <wp:inline distT="0" distR="0" distB="0" distL="0">
            <wp:extent cx="5715000" cy="1143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쿼리 &gt; 워크플로우</w:t>
      </w:r>
      <w:r>
        <w:t xml:space="preserve">에서 복제할 워크플로우를 선택하고 도구 모음에서 </w:t>
      </w:r>
      <w:r>
        <w:rPr>
          <w:b w:val="on"/>
        </w:rPr>
        <w:t>복제</w:t>
      </w:r>
      <w:r>
        <w:t>를 누릅니다.</w:t>
      </w:r>
    </w:p>
    <w:p>
      <w:r>
        <w:rPr>
          <w:b w:val="on"/>
        </w:rPr>
        <w:t>워크플로우 복제 확인</w:t>
      </w:r>
      <w:r>
        <w:t xml:space="preserve"> 창에서 복제할 워크플로우를 확인하고 </w:t>
      </w:r>
      <w:r>
        <w:rPr>
          <w:b w:val="on"/>
        </w:rPr>
        <w:t>복제</w:t>
      </w:r>
      <w:r>
        <w:t>를 누릅니다.</w:t>
      </w:r>
    </w:p>
    <w:p>
      <w:r>
        <w:t>워크플로우 목록에서 복제된 워크플로우를 확인합니다.</w:t>
      </w:r>
    </w:p>
    <w:p>
      <w:r>
        <w:drawing>
          <wp:inline distT="0" distR="0" distB="0" distL="0">
            <wp:extent cx="5715000" cy="1295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t>복제된 워크플로우의 이름은 "</w:t>
      </w:r>
      <w:r>
        <w:rPr>
          <w:b w:val="on"/>
        </w:rPr>
        <w:t>(원본 워크플로우)의 사본</w:t>
      </w:r>
      <w:r>
        <w:t>"으로 표시됩니다.</w:t>
      </w:r>
    </w:p>
    <w:p>
      <w:pPr>
        <w:numPr>
          <w:numId w:val="11"/>
        </w:numPr>
        <w:spacing w:before="0" w:after="0"/>
        <w:ind w:left="360" w:hanging="360"/>
      </w:pPr>
      <w:r>
        <w:t>복제한 워크플로우는 비활성화되어 있어 원본 워크플로우에 영향을 미치지 않습니다.</w:t>
      </w:r>
    </w:p>
    <w:p>
      <w:pPr>
        <w:pStyle w:val="4"/>
      </w:pPr>
      <w:r>
        <w:t>워크플로우 수정</w:t>
      </w:r>
    </w:p>
    <w:p>
      <w:r>
        <w:t>워크플로우를 수정하는 방법은 다음과 같습니다.</w:t>
      </w:r>
    </w:p>
    <w:p>
      <w:r>
        <w:rPr>
          <w:b w:val="on"/>
        </w:rPr>
        <w:t>쿼리 &gt; 워크플로우</w:t>
      </w:r>
      <w:r>
        <w:t>에서 수정할 워크플로우의 이름을 누릅니다.</w:t>
      </w:r>
    </w:p>
    <w:p>
      <w:r>
        <w:drawing>
          <wp:inline distT="0" distR="0" distB="0" distL="0">
            <wp:extent cx="5715000" cy="1168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워크플로우 기본 속성과 태스크를 수정합니다. 워크플로우 수정 화면은 추가 화면과 동일합니다.</w:t>
      </w:r>
    </w:p>
    <w:p>
      <w:r>
        <w:drawing>
          <wp:inline distT="0" distR="0" distB="0" distL="0">
            <wp:extent cx="5715000" cy="2540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모든 작업이 완료되었으면 </w:t>
      </w:r>
      <w:r>
        <w:rPr>
          <w:b w:val="on"/>
        </w:rPr>
        <w:t>확인</w:t>
      </w:r>
      <w:r>
        <w:t>을 눌러서 수정 사항을 반영합니다.</w:t>
      </w:r>
    </w:p>
    <w:p>
      <w:pPr>
        <w:pStyle w:val="4"/>
      </w:pPr>
      <w:r>
        <w:t>워크플로우 삭제</w:t>
      </w:r>
    </w:p>
    <w:p>
      <w:r>
        <w:t>워크플로우를 삭제하는 방법은 다음과 같습니다.</w:t>
      </w:r>
    </w:p>
    <w:p>
      <w:r>
        <w:rPr>
          <w:b w:val="on"/>
        </w:rPr>
        <w:t>쿼리 &gt; 워크플로우</w:t>
      </w:r>
      <w:r>
        <w:t>에서 삭제할 워크플로우를 선택하고 도구모음에서 휴지통을 누릅니다.</w:t>
      </w:r>
    </w:p>
    <w:p>
      <w:r>
        <w:drawing>
          <wp:inline distT="0" distR="0" distB="0" distL="0">
            <wp:extent cx="5715000" cy="10414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워크플로우 삭제 확인</w:t>
      </w:r>
      <w:r>
        <w:t xml:space="preserve"> 창에서 삭제할 워크플로우를 확인하고 </w:t>
      </w:r>
      <w:r>
        <w:rPr>
          <w:b w:val="on"/>
        </w:rPr>
        <w:t>삭제</w:t>
      </w:r>
      <w:r>
        <w:t>를 누릅니다.</w:t>
      </w:r>
    </w:p>
    <w:p>
      <w:r>
        <w:t>워크플로우 목록에서 워크플로우가 삭제되었음을 확인합니다.</w:t>
      </w:r>
    </w:p>
    <w:p>
      <w:pPr>
        <w:pStyle w:val="4"/>
      </w:pPr>
      <w:r>
        <w:t>워크플로우 실행</w:t>
      </w:r>
    </w:p>
    <w:p>
      <w:r>
        <w:t>워크플로우를 사용자가 직접 실행하는 방법은 다음과 같습니다.</w:t>
      </w:r>
    </w:p>
    <w:p>
      <w:r>
        <w:rPr>
          <w:b w:val="on"/>
        </w:rPr>
        <w:t>쿼리 &gt; 워크플로우</w:t>
      </w:r>
      <w:r>
        <w:t xml:space="preserve">실행할 워크플로우를 선택하고, 워크플로우 행에 있는 </w:t>
      </w:r>
      <w:r>
        <w:rPr>
          <w:b w:val="on"/>
        </w:rPr>
        <w:t>실행</w:t>
      </w:r>
      <w:r>
        <w:t>을 누릅니다.</w:t>
      </w:r>
    </w:p>
    <w:p>
      <w:r>
        <w:drawing>
          <wp:inline distT="0" distR="0" distB="0" distL="0">
            <wp:extent cx="5715000" cy="10033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워크플로우 실행</w:t>
      </w:r>
      <w:r>
        <w:t xml:space="preserve">에서 실행할 워크플로우를 확인하고 </w:t>
      </w:r>
      <w:r>
        <w:rPr>
          <w:b w:val="on"/>
        </w:rPr>
        <w:t>실행</w:t>
      </w:r>
      <w:r>
        <w:t>을 누릅니다.</w:t>
      </w:r>
    </w:p>
    <w:p>
      <w:r>
        <w:drawing>
          <wp:inline distT="0" distR="0" distB="0" distL="0">
            <wp:extent cx="5715000" cy="21971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워크플로우를 구성하는 태스크에 입력 매개변수가 있으면 매개변수 목록이 함께 표시됩니다. 매개변수 값을 입력하고 </w:t>
      </w:r>
      <w:r>
        <w:rPr>
          <w:b w:val="on"/>
        </w:rPr>
        <w:t>실행</w:t>
      </w:r>
      <w:r>
        <w:t>을 누르십시오.</w:t>
      </w:r>
    </w:p>
    <w:p>
      <w:r>
        <w:drawing>
          <wp:inline distT="0" distR="0" distB="0" distL="0">
            <wp:extent cx="5715000" cy="13589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워크플로우 실행 모니터에 실행 과정이 표시됩니다. 모든 태스크 실행이 완료되면 </w:t>
      </w:r>
      <w:r>
        <w:rPr>
          <w:b w:val="on"/>
        </w:rPr>
        <w:t>확인</w:t>
      </w:r>
      <w:r>
        <w:t>을 눌러 창을 닫습니다.</w:t>
      </w:r>
    </w:p>
    <w:p>
      <w:pPr>
        <w:pStyle w:val="4"/>
      </w:pPr>
      <w:r>
        <w:t>워크플로우 실행 모니터</w:t>
      </w:r>
    </w:p>
    <w:p>
      <w:r>
        <w:t xml:space="preserve">도구 모음에서 </w:t>
      </w:r>
      <w:r>
        <w:rPr>
          <w:b w:val="on"/>
        </w:rPr>
        <w:t>상태</w:t>
      </w:r>
      <w:r>
        <w:t>를 누르거나, 워크플로우를 실행한 뒤에 등록된 워크플로우의 실행 상태를 확인할 수 있습니다.</w:t>
      </w:r>
    </w:p>
    <w:p>
      <w:r>
        <w:drawing>
          <wp:inline distT="0" distR="0" distB="0" distL="0">
            <wp:extent cx="5715000" cy="14859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716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워크플로우 이름을 클릭하면 해당 워크플로우의 상세 실행 내역이 표시됩니다. </w:t>
      </w:r>
      <w:r>
        <w:rPr>
          <w:b w:val="on"/>
        </w:rPr>
        <w:t>백그라운드 실행</w:t>
      </w:r>
      <w:r>
        <w:t xml:space="preserve">을 클릭하면 해당 워크플로우를 백그라운드에서 실행시키고, </w:t>
      </w:r>
      <w:r>
        <w:rPr>
          <w:b w:val="on"/>
        </w:rPr>
        <w:t>목록</w:t>
      </w:r>
      <w:r>
        <w:t xml:space="preserve">을 클릭하면 실행 중인 워크플로우 목록으로 돌아갑니다. </w:t>
      </w:r>
      <w:r>
        <w:rPr>
          <w:b w:val="on"/>
        </w:rPr>
        <w:t>중단</w:t>
      </w:r>
      <w:r>
        <w:t>을 클릭하면 실행 중인 워크플로우를 중단합니다.</w:t>
      </w:r>
    </w:p>
    <w:p>
      <w:r>
        <w:drawing>
          <wp:inline distT="0" distR="0" distB="0" distL="0">
            <wp:extent cx="5715000" cy="33782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3782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실행 이력 조회</w:t>
      </w:r>
    </w:p>
    <w:p>
      <w:r>
        <w:t xml:space="preserve">워크플로우 목록에서 </w:t>
      </w:r>
      <w:r>
        <w:rPr>
          <w:b w:val="on"/>
        </w:rPr>
        <w:t>이력</w:t>
      </w:r>
      <w:r>
        <w:t>을 누르면 해당 워크플로우의 실행 이력을 조회할 수 있습니다.</w:t>
      </w:r>
    </w:p>
    <w:p>
      <w:r>
        <w:drawing>
          <wp:inline distT="0" distR="0" distB="0" distL="0">
            <wp:extent cx="5715000" cy="10414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워크플로우 이력 화면에서 워크플로우가 실행된 시간과 종료된 시간 및 소요시간 등을 확인할 수 있습니다.</w:t>
      </w:r>
    </w:p>
    <w:p>
      <w:r>
        <w:drawing>
          <wp:inline distT="0" distR="0" distB="0" distL="0">
            <wp:extent cx="5715000" cy="28067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5"/>
        </w:numPr>
        <w:spacing w:before="0" w:after="0"/>
        <w:ind w:left="360" w:hanging="360"/>
      </w:pPr>
      <w:r>
        <w:t>이력 검색 기간을 조절해 원하는 기간 동안의 실행 이력을 조회할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새로 고침</w:t>
      </w:r>
      <w:r>
        <w:t>을 눌러서 워크플로우 이력 목록을 새로고침 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다운로드</w:t>
      </w:r>
      <w:r>
        <w:t>를 눌러서서 워크플로우 실행 이력 목록을 다운로드할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돌아가기</w:t>
      </w:r>
      <w:r>
        <w:t>를 눌러서 워크플로우 목록 화면으로 돌아갈 수 있습니다.</w:t>
      </w:r>
    </w:p>
    <w:p>
      <w:pPr>
        <w:numPr>
          <w:numId w:val="15"/>
        </w:numPr>
        <w:spacing w:before="0" w:after="0"/>
        <w:ind w:left="360" w:hanging="360"/>
      </w:pPr>
      <w:r>
        <w:t>목록에서 특정 워크플로우의 이름을 누르면 해당 워크플로우를 수정할 수 있습니다.</w:t>
      </w:r>
    </w:p>
    <w:p>
      <w:pPr>
        <w:numPr>
          <w:numId w:val="15"/>
        </w:numPr>
        <w:spacing w:before="0" w:after="0"/>
        <w:ind w:left="360" w:hanging="360"/>
      </w:pPr>
      <w:r>
        <w:t xml:space="preserve">목록에서 </w:t>
      </w:r>
      <w:r>
        <w:rPr>
          <w:b w:val="on"/>
        </w:rPr>
        <w:t>상세내역</w:t>
      </w:r>
      <w:r>
        <w:t>을 누르면 태스크 단위로 소요시간과 실행결과를 확인할 수 있습니다.</w:t>
      </w:r>
    </w:p>
    <w:p>
      <w:pPr>
        <w:numPr>
          <w:numId w:val="15"/>
        </w:numPr>
        <w:spacing w:before="0" w:after="0"/>
        <w:ind w:left="360" w:hanging="360"/>
      </w:pPr>
      <w:r>
        <w:drawing>
          <wp:inline distT="0" distR="0" distB="0" distL="0">
            <wp:extent cx="5715000" cy="19050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유형</w:t>
      </w:r>
      <w:r>
        <w:t xml:space="preserve">이 </w:t>
      </w:r>
      <w:r>
        <w:rPr>
          <w:b w:val="on"/>
        </w:rPr>
        <w:t>프로그램 실행</w:t>
      </w:r>
      <w:r>
        <w:t>인 태스크에서 모니터 아이콘을 누르면 실행한 프로그램의 출력을 조회할 수 있습니다.</w:t>
      </w:r>
    </w:p>
    <w:p>
      <w:pPr>
        <w:numPr>
          <w:numId w:val="16"/>
        </w:numPr>
        <w:spacing w:before="0" w:after="0"/>
        <w:ind w:left="720" w:hanging="360"/>
      </w:pPr>
      <w:r>
        <w:drawing>
          <wp:inline distT="0" distR="0" distB="0" distL="0">
            <wp:extent cx="5715000" cy="13716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결과</w:t>
      </w:r>
      <w:r>
        <w:t xml:space="preserve">가 </w:t>
      </w:r>
      <w:r>
        <w:rPr>
          <w:b w:val="on"/>
        </w:rPr>
        <w:t>실패</w:t>
      </w:r>
      <w:r>
        <w:t xml:space="preserve">인 경우, </w:t>
      </w:r>
      <w:r>
        <w:rPr>
          <w:b w:val="on"/>
        </w:rPr>
        <w:t>조회</w:t>
      </w:r>
      <w:r>
        <w:t>를 누르면 태스크에서 발생한 오류를 확인할 수 있습니다.</w:t>
      </w:r>
    </w:p>
    <w:p>
      <w:pPr>
        <w:numPr>
          <w:numId w:val="16"/>
        </w:numPr>
        <w:spacing w:before="0" w:after="0"/>
        <w:ind w:left="720" w:hanging="360"/>
      </w:pPr>
      <w:r>
        <w:drawing>
          <wp:inline distT="0" distR="0" distB="0" distL="0">
            <wp:extent cx="5715000" cy="19558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0"/>
  </w:num>
  <w:num w:numId="12">
    <w:abstractNumId w:val="2"/>
  </w:num>
  <w:num w:numId="13">
    <w:abstractNumId w:val="3"/>
  </w:num>
  <w:num w:numId="14">
    <w:abstractNumId w:val="4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/ko/enterprise/4.0/ui/workflow" TargetMode="External" Type="http://schemas.openxmlformats.org/officeDocument/2006/relationships/hyperlink"/><Relationship Id="rId13" Target="https://docs.logpresso.com/ko/enterprise/4.0/ui/task-management" TargetMode="External" Type="http://schemas.openxmlformats.org/officeDocument/2006/relationships/hyperlink"/><Relationship Id="rId14" Target="media/image3.png" Type="http://schemas.openxmlformats.org/officeDocument/2006/relationships/image"/><Relationship Id="rId15" Target="https://docs.logpresso.com/ko/enterprise/4.0/ui/workflow" TargetMode="External" Type="http://schemas.openxmlformats.org/officeDocument/2006/relationships/hyperlink"/><Relationship Id="rId16" Target="media/image4.png" Type="http://schemas.openxmlformats.org/officeDocument/2006/relationships/image"/><Relationship Id="rId17" Target="media/image5.png" Type="http://schemas.openxmlformats.org/officeDocument/2006/relationships/image"/><Relationship Id="rId18" Target="media/image6.png" Type="http://schemas.openxmlformats.org/officeDocument/2006/relationships/image"/><Relationship Id="rId19" Target="media/image7.png" Type="http://schemas.openxmlformats.org/officeDocument/2006/relationships/image"/><Relationship Id="rId2" Target="numbering.xml" Type="http://schemas.openxmlformats.org/officeDocument/2006/relationships/numbering"/><Relationship Id="rId20" Target="media/image8.png" Type="http://schemas.openxmlformats.org/officeDocument/2006/relationships/image"/><Relationship Id="rId21" Target="media/image9.png" Type="http://schemas.openxmlformats.org/officeDocument/2006/relationships/image"/><Relationship Id="rId22" Target="media/image10.png" Type="http://schemas.openxmlformats.org/officeDocument/2006/relationships/image"/><Relationship Id="rId23" Target="media/image11.png" Type="http://schemas.openxmlformats.org/officeDocument/2006/relationships/image"/><Relationship Id="rId24" Target="media/image12.png" Type="http://schemas.openxmlformats.org/officeDocument/2006/relationships/image"/><Relationship Id="rId25" Target="media/image13.png" Type="http://schemas.openxmlformats.org/officeDocument/2006/relationships/image"/><Relationship Id="rId26" Target="media/image14.png" Type="http://schemas.openxmlformats.org/officeDocument/2006/relationships/image"/><Relationship Id="rId27" Target="media/image15.png" Type="http://schemas.openxmlformats.org/officeDocument/2006/relationships/image"/><Relationship Id="rId28" Target="media/image16.png" Type="http://schemas.openxmlformats.org/officeDocument/2006/relationships/image"/><Relationship Id="rId29" Target="media/image17.png" Type="http://schemas.openxmlformats.org/officeDocument/2006/relationships/image"/><Relationship Id="rId3" Target="styles.xml" Type="http://schemas.openxmlformats.org/officeDocument/2006/relationships/styles"/><Relationship Id="rId30" Target="media/image18.png" Type="http://schemas.openxmlformats.org/officeDocument/2006/relationships/image"/><Relationship Id="rId31" Target="media/image19.png" Type="http://schemas.openxmlformats.org/officeDocument/2006/relationships/image"/><Relationship Id="rId32" Target="media/image20.png" Type="http://schemas.openxmlformats.org/officeDocument/2006/relationships/imag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