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tohex()</w:t>
      </w:r>
    </w:p>
    <w:p>
      <w:r>
        <w:t>바이너리 값을 16진수 문자열로 변환합니다. 매개변수 값이 바이너리 타입이 아닌 경우에는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tohex(BLOB_EXPR)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16진수 문자로 변환할 바이너리 값</w:t>
      </w:r>
    </w:p>
    <w:p>
      <w:pPr>
        <w:pStyle w:val="4"/>
      </w:pPr>
      <w:r>
        <w:t>사용 예</w:t>
      </w:r>
    </w:p>
    <w:p>
      <w:pPr>
        <w:pStyle w:val="ae"/>
      </w:pPr>
      <w:r>
        <w:t>json "{}" | eval hex=tohex(encode("abcde")) =&gt; "6162636465"</w:t>
        <w:cr/>
      </w:r>
      <w:r>
        <w:t/>
        <w:cr/>
      </w:r>
      <w:r>
        <w:t>json "{}" | eval hex=tohex(1234) =&gt; null</w:t>
        <w:cr/>
      </w:r>
      <w:r>
        <w:t/>
        <w:cr/>
      </w:r>
      <w:r>
        <w:t>json "{}" | eval hex=tohex(null)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