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4.0.2312.2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SNR#2356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라이선스 미설치 상태에서 노드 이중화 설정을 진행할 수 없는 문제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SNR#2359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샘플 앱 호환성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SNR#2356 라이선스 미설치 상태에서 노드 이중화 설정을 진행할 수 없는 문제 해결</w:t>
      </w:r>
    </w:p>
    <w:p>
      <w:r>
        <w:t>라이선스 미설치 상태에서 노드 설정 추가/삭제 기능을 사용할 수 없는 문제를 해결했습니다.</w:t>
      </w:r>
    </w:p>
    <w:p>
      <w:pPr>
        <w:pStyle w:val="4"/>
      </w:pPr>
      <w:r>
        <w:t>SNR#2359 샘플 앱 호환성 문제 해결</w:t>
      </w:r>
    </w:p>
    <w:p>
      <w:r>
        <w:t>샘플 앱과 앱 시스템의 호환성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356" TargetMode="External" Type="http://schemas.openxmlformats.org/officeDocument/2006/relationships/hyperlink"/><Relationship Id="rId11" Target="https://docs.logpresso.com/ko/sonar/4.0/issues/SNR2359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