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cov()</w:t>
      </w:r>
    </w:p>
    <w:p>
      <w:r>
        <w:t>Calculates the covariance for each group. It eliminates expression pairs where either expression in the pair returns null or a non-numeric value.</w:t>
      </w:r>
    </w:p>
    <w:p>
      <w:pPr>
        <w:pStyle w:val="4"/>
      </w:pPr>
      <w:r>
        <w:t>Syntax</w:t>
      </w:r>
    </w:p>
    <w:p>
      <w:pPr>
        <w:pStyle w:val="ab"/>
      </w:pPr>
      <w:r>
        <w:t>cov(EXPR_X, EXPR_Y)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EXPR_X</w:t>
      </w:r>
    </w:p>
    <w:p>
      <w:pPr>
        <w:ind w:left="400"/>
      </w:pPr>
      <w:r>
        <w:t>Numeric expression</w:t>
      </w:r>
    </w:p>
    <w:p>
      <w:r>
        <w:rPr>
          <w:rStyle w:val="af4"/>
          <w:b w:val="on"/>
        </w:rPr>
        <w:t>EXPR_Y</w:t>
      </w:r>
    </w:p>
    <w:p>
      <w:pPr>
        <w:ind w:left="400"/>
      </w:pPr>
      <w:r>
        <w:t>Second numeric expression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