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linux-no-owner-files</w:t>
      </w:r>
    </w:p>
    <w:p>
      <w:r>
        <w:t>Lists files that do not have an owner.</w:t>
      </w:r>
    </w:p>
    <w:p>
      <w:pPr>
        <w:pStyle w:val="4"/>
      </w:pPr>
      <w:r>
        <w:t>Syntax</w:t>
      </w:r>
    </w:p>
    <w:p>
      <w:pPr>
        <w:pStyle w:val="ab"/>
      </w:pPr>
      <w:r>
        <w:t>linux-no-owner-files</w:t>
      </w:r>
    </w:p>
    <w:p>
      <w:pPr>
        <w:pStyle w:val="4"/>
      </w:pPr>
      <w:r>
        <w:t>Description</w:t>
      </w:r>
    </w:p>
    <w:p>
      <w:r>
        <w:t>After running the linux-no-owner-files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