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parseleef</w:t>
      </w:r>
    </w:p>
    <w:p>
      <w:r>
        <w:t>Parses logs in LEEF (Log Event Extended Format) and extracts each field. Supports both LEEF 1.0 and LEEF 2.0 formats used by IBM QRadar.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Processing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Runs on Data Node (mapper)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parseleef [field=FIELD] [overlay={t|f}] [prefix=PREFIX] [postfix=POSTFIX]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field=FIELD</w:t>
      </w:r>
    </w:p>
    <w:p>
      <w:pPr>
        <w:ind w:left="400"/>
      </w:pPr>
      <w:r>
        <w:t xml:space="preserve">Name of the field containing the LEEF log to parse (default: </w:t>
      </w:r>
      <w:r>
        <w:rPr>
          <w:rStyle w:val="af4"/>
        </w:rPr>
        <w:t>line</w:t>
      </w:r>
      <w:r>
        <w:t>)</w:t>
      </w:r>
    </w:p>
    <w:p>
      <w:r>
        <w:rPr>
          <w:rStyle w:val="af4"/>
          <w:b w:val="on"/>
        </w:rPr>
        <w:t>overlay={t|f}</w:t>
      </w:r>
    </w:p>
    <w:p>
      <w:pPr>
        <w:ind w:left="400"/>
      </w:pPr>
      <w:r>
        <w:t xml:space="preserve">Specifies whether to overlay the parse result onto the original record (default: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Adds the parsed fields to the original record. Overwrites existing fields with the same name with the parsed value.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: Creates a new record containing only the parsed fields.</w:t>
      </w:r>
    </w:p>
    <w:p>
      <w:r>
        <w:rPr>
          <w:rStyle w:val="af4"/>
          <w:b w:val="on"/>
        </w:rPr>
        <w:t>prefix=PREFIX</w:t>
      </w:r>
    </w:p>
    <w:p>
      <w:pPr>
        <w:ind w:left="400"/>
      </w:pPr>
      <w:r>
        <w:t>Prefix to prepend to output field names.</w:t>
      </w:r>
    </w:p>
    <w:p>
      <w:r>
        <w:rPr>
          <w:rStyle w:val="af4"/>
          <w:b w:val="on"/>
        </w:rPr>
        <w:t>postfix=POSTFIX</w:t>
      </w:r>
    </w:p>
    <w:p>
      <w:pPr>
        <w:ind w:left="400"/>
      </w:pPr>
      <w:r>
        <w:t>Suffix to append to output field names.</w:t>
      </w:r>
    </w:p>
    <w:p>
      <w:pPr>
        <w:pStyle w:val="4"/>
      </w:pPr>
      <w:r>
        <w:t>Output fields</w:t>
      </w:r>
    </w:p>
    <w:p>
      <w:r>
        <w:t>The following base fields are extracted from the LEEF header.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leef_ver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LEEF version (e.g., </w:t>
            </w:r>
            <w:r>
              <w:rPr>
                <w:rStyle w:val="af4"/>
              </w:rPr>
              <w:t>1.0</w:t>
            </w:r>
            <w:r>
              <w:t xml:space="preserve">, </w:t>
            </w:r>
            <w:r>
              <w:rPr>
                <w:rStyle w:val="af4"/>
              </w:rPr>
              <w:t>2.0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vendor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Product vendor name</w:t>
            </w:r>
          </w:p>
        </w:tc>
      </w:tr>
      <w:tr>
        <w:tc>
          <w:p>
            <w:pPr>
              <w:spacing w:before="0" w:after="0"/>
            </w:pPr>
            <w:r>
              <w:t>product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Product name</w:t>
            </w:r>
          </w:p>
        </w:tc>
      </w:tr>
      <w:tr>
        <w:tc>
          <w:p>
            <w:pPr>
              <w:spacing w:before="0" w:after="0"/>
            </w:pPr>
            <w:r>
              <w:t>ver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Product version</w:t>
            </w:r>
          </w:p>
        </w:tc>
      </w:tr>
      <w:tr>
        <w:tc>
          <w:p>
            <w:pPr>
              <w:spacing w:before="0" w:after="0"/>
            </w:pPr>
            <w:r>
              <w:t>event_id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Event identifier</w:t>
            </w:r>
          </w:p>
        </w:tc>
      </w:tr>
    </w:tbl>
    <w:p>
      <w:r>
        <w:t>LEEF extension attribute fields vary depending on the content of the LEEF log. The following are examples of standard LEEF fields to which type conversion is applied.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sev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Severity</w:t>
            </w:r>
          </w:p>
        </w:tc>
      </w:tr>
      <w:tr>
        <w:tc>
          <w:p>
            <w:pPr>
              <w:spacing w:before="0" w:after="0"/>
            </w:pPr>
            <w:r>
              <w:t>src</w:t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Source IP address</w:t>
            </w:r>
          </w:p>
        </w:tc>
      </w:tr>
      <w:tr>
        <w:tc>
          <w:p>
            <w:pPr>
              <w:spacing w:before="0" w:after="0"/>
            </w:pPr>
            <w:r>
              <w:t>dst</w:t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Destination IP address</w:t>
            </w:r>
          </w:p>
        </w:tc>
      </w:tr>
      <w:tr>
        <w:tc>
          <w:p>
            <w:pPr>
              <w:spacing w:before="0" w:after="0"/>
            </w:pPr>
            <w:r>
              <w:t>srcPort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Source port number</w:t>
            </w:r>
          </w:p>
        </w:tc>
      </w:tr>
      <w:tr>
        <w:tc>
          <w:p>
            <w:pPr>
              <w:spacing w:before="0" w:after="0"/>
            </w:pPr>
            <w:r>
              <w:t>dstPort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Destination port number</w:t>
            </w:r>
          </w:p>
        </w:tc>
      </w:tr>
      <w:tr>
        <w:tc>
          <w:p>
            <w:pPr>
              <w:spacing w:before="0" w:after="0"/>
            </w:pPr>
            <w:r>
              <w:t>srcPreNAT</w:t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Source IP before NAT</w:t>
            </w:r>
          </w:p>
        </w:tc>
      </w:tr>
      <w:tr>
        <w:tc>
          <w:p>
            <w:pPr>
              <w:spacing w:before="0" w:after="0"/>
            </w:pPr>
            <w:r>
              <w:t>dstPreNAT</w:t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Destination IP before NAT</w:t>
            </w:r>
          </w:p>
        </w:tc>
      </w:tr>
      <w:tr>
        <w:tc>
          <w:p>
            <w:pPr>
              <w:spacing w:before="0" w:after="0"/>
            </w:pPr>
            <w:r>
              <w:t>srcPostNAT</w:t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Source IP after NAT</w:t>
            </w:r>
          </w:p>
        </w:tc>
      </w:tr>
      <w:tr>
        <w:tc>
          <w:p>
            <w:pPr>
              <w:spacing w:before="0" w:after="0"/>
            </w:pPr>
            <w:r>
              <w:t>dstPostNAT</w:t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Destination IP after NAT</w:t>
            </w:r>
          </w:p>
        </w:tc>
      </w:tr>
      <w:tr>
        <w:tc>
          <w:p>
            <w:pPr>
              <w:spacing w:before="0" w:after="0"/>
            </w:pPr>
            <w:r>
              <w:t>srcPreNATPort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Source port before NAT</w:t>
            </w:r>
          </w:p>
        </w:tc>
      </w:tr>
      <w:tr>
        <w:tc>
          <w:p>
            <w:pPr>
              <w:spacing w:before="0" w:after="0"/>
            </w:pPr>
            <w:r>
              <w:t>dstPreNATPort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Destination port before NAT</w:t>
            </w:r>
          </w:p>
        </w:tc>
      </w:tr>
      <w:tr>
        <w:tc>
          <w:p>
            <w:pPr>
              <w:spacing w:before="0" w:after="0"/>
            </w:pPr>
            <w:r>
              <w:t>srcPostNATPort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Source port after NAT</w:t>
            </w:r>
          </w:p>
        </w:tc>
      </w:tr>
      <w:tr>
        <w:tc>
          <w:p>
            <w:pPr>
              <w:spacing w:before="0" w:after="0"/>
            </w:pPr>
            <w:r>
              <w:t>dstPostNATPort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Destination port after NAT</w:t>
            </w:r>
          </w:p>
        </w:tc>
      </w:tr>
      <w:tr>
        <w:tc>
          <w:p>
            <w:pPr>
              <w:spacing w:before="0" w:after="0"/>
            </w:pPr>
            <w:r>
              <w:t>identSrc</w:t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Identified source IP</w:t>
            </w:r>
          </w:p>
        </w:tc>
      </w:tr>
      <w:tr>
        <w:tc>
          <w:p>
            <w:pPr>
              <w:spacing w:before="0" w:after="0"/>
            </w:pPr>
            <w:r>
              <w:t>vSrc</w:t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Virtual source IP</w:t>
            </w:r>
          </w:p>
        </w:tc>
      </w:tr>
      <w:tr>
        <w:tc>
          <w:p>
            <w:pPr>
              <w:spacing w:before="0" w:after="0"/>
            </w:pPr>
            <w:r>
              <w:t>srcBytes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Bytes sent from source</w:t>
            </w:r>
          </w:p>
        </w:tc>
      </w:tr>
      <w:tr>
        <w:tc>
          <w:p>
            <w:pPr>
              <w:spacing w:before="0" w:after="0"/>
            </w:pPr>
            <w:r>
              <w:t>dstBytes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Bytes sent from destination</w:t>
            </w:r>
          </w:p>
        </w:tc>
      </w:tr>
      <w:tr>
        <w:tc>
          <w:p>
            <w:pPr>
              <w:spacing w:before="0" w:after="0"/>
            </w:pPr>
            <w:r>
              <w:t>srcPackets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Source packet count</w:t>
            </w:r>
          </w:p>
        </w:tc>
      </w:tr>
      <w:tr>
        <w:tc>
          <w:p>
            <w:pPr>
              <w:spacing w:before="0" w:after="0"/>
            </w:pPr>
            <w:r>
              <w:t>dstPackets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Destination packet count</w:t>
            </w:r>
          </w:p>
        </w:tc>
      </w:tr>
      <w:tr>
        <w:tc>
          <w:p>
            <w:pPr>
              <w:spacing w:before="0" w:after="0"/>
            </w:pPr>
            <w:r>
              <w:t>totalPackets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Total packet count</w:t>
            </w:r>
          </w:p>
        </w:tc>
      </w:tr>
      <w:tr>
        <w:tc>
          <w:p>
            <w:pPr>
              <w:spacing w:before="0" w:after="0"/>
            </w:pPr>
            <w:r>
              <w:t>isLoginEvent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this is a login event</w:t>
            </w:r>
          </w:p>
        </w:tc>
      </w:tr>
      <w:tr>
        <w:tc>
          <w:p>
            <w:pPr>
              <w:spacing w:before="0" w:after="0"/>
            </w:pPr>
            <w:r>
              <w:t>isLogoutEvent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this is a logout event</w:t>
            </w:r>
          </w:p>
        </w:tc>
      </w:tr>
      <w:tr>
        <w:tc>
          <w:p>
            <w:pPr>
              <w:spacing w:before="0" w:after="0"/>
            </w:pPr>
            <w:r>
              <w:t>identSecondIp</w:t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Second identified IP address</w:t>
            </w:r>
          </w:p>
        </w:tc>
      </w:tr>
      <w:tr>
        <w:tc>
          <w:p>
            <w:pPr>
              <w:spacing w:before="0" w:after="0"/>
            </w:pPr>
            <w:r>
              <w:t>devTime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 xml:space="preserve">Device event time (parsed using the format in the </w:t>
            </w:r>
            <w:r>
              <w:rPr>
                <w:rStyle w:val="af4"/>
              </w:rPr>
              <w:t>devTimeFormat</w:t>
            </w:r>
            <w:r>
              <w:t xml:space="preserve"> field)</w:t>
            </w:r>
          </w:p>
        </w:tc>
      </w:tr>
      <w:tr>
        <w:tc>
          <w:p>
            <w:pPr>
              <w:spacing w:before="0" w:after="0"/>
            </w:pPr>
            <w:r>
              <w:t>proto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Protocol number (converted to integer when the value is numeric)</w:t>
            </w:r>
          </w:p>
        </w:tc>
      </w:tr>
    </w:tbl>
    <w:p>
      <w:r>
        <w:t>Extension attribute fields not in the list above are output as string type.</w:t>
      </w:r>
    </w:p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p>
      <w:r>
        <w:t>N/A</w:t>
      </w:r>
    </w:p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parseleef</w:t>
      </w:r>
      <w:r>
        <w:t xml:space="preserve"> command parses logs in LEEF 1.0 and LEEF 2.0 formats.</w:t>
      </w:r>
    </w:p>
    <w:p>
      <w:r>
        <w:t>The basic structure of a LEEF log is as follows:</w:t>
      </w:r>
    </w:p>
    <w:p>
      <w:pPr>
        <w:numPr>
          <w:numId w:val="7"/>
        </w:numPr>
        <w:spacing w:before="0" w:after="0"/>
        <w:ind w:left="360" w:hanging="360"/>
      </w:pPr>
      <w:r>
        <w:t xml:space="preserve">LEEF 1.0: </w:t>
      </w:r>
      <w:r>
        <w:rPr>
          <w:rStyle w:val="af4"/>
        </w:rPr>
        <w:t>LEEF:1.0|Vendor|Product|Version|EventID|key=value\tkey=value...</w:t>
      </w:r>
    </w:p>
    <w:p>
      <w:pPr>
        <w:numPr>
          <w:numId w:val="7"/>
        </w:numPr>
        <w:spacing w:before="0" w:after="0"/>
        <w:ind w:left="360" w:hanging="360"/>
      </w:pPr>
      <w:r>
        <w:t xml:space="preserve">LEEF 2.0: </w:t>
      </w:r>
      <w:r>
        <w:rPr>
          <w:rStyle w:val="af4"/>
        </w:rPr>
        <w:t>LEEF:2.0|Vendor|Product|Version|EventID|Delimiter|key=value&lt;Delimiter&gt;key=value...</w:t>
      </w:r>
    </w:p>
    <w:p>
      <w:r>
        <w:t xml:space="preserve">In LEEF 2.0, the extension attribute delimiter is specified in the header. The delimiter is either a single character or a hexadecimal code in the format </w:t>
      </w:r>
      <w:r>
        <w:rPr>
          <w:rStyle w:val="af4"/>
        </w:rPr>
        <w:t>0x09</w:t>
      </w:r>
      <w:r>
        <w:t>.</w:t>
      </w:r>
    </w:p>
    <w:p>
      <w:r>
        <w:t xml:space="preserve">If parsing fails or the target field is </w:t>
      </w:r>
      <w:r>
        <w:rPr>
          <w:rStyle w:val="af4"/>
        </w:rPr>
        <w:t>null</w:t>
      </w:r>
      <w:r>
        <w:t>, the original record is passed through unchanged.</w:t>
      </w:r>
    </w:p>
    <w:p>
      <w:r>
        <w:t xml:space="preserve">When a </w:t>
      </w:r>
      <w:r>
        <w:rPr>
          <w:rStyle w:val="af4"/>
        </w:rPr>
        <w:t>prefix</w:t>
      </w:r>
      <w:r>
        <w:t xml:space="preserve"> or </w:t>
      </w:r>
      <w:r>
        <w:rPr>
          <w:rStyle w:val="af4"/>
        </w:rPr>
        <w:t>postfix</w:t>
      </w:r>
      <w:r>
        <w:t xml:space="preserve"> option is specified, the prefix or suffix is added to all output field names.</w:t>
      </w:r>
    </w:p>
    <w:p>
      <w:pPr>
        <w:pStyle w:val="4"/>
      </w:pPr>
      <w:r>
        <w:t>Examples</w:t>
      </w:r>
    </w:p>
    <w:p>
      <w:r>
        <w:t>Parsing LEEF logs from the default field</w:t>
      </w:r>
    </w:p>
    <w:p>
      <w:pPr>
        <w:pStyle w:val="ae"/>
      </w:pPr>
      <w:r>
        <w:t>table duration=1h SYSLOG</w:t>
        <w:cr/>
      </w:r>
      <w:r>
        <w:t xml:space="preserve">   | parseleef</w:t>
      </w:r>
    </w:p>
    <w:p>
      <w:r>
        <w:t xml:space="preserve">Parses the LEEF-format log in the </w:t>
      </w:r>
      <w:r>
        <w:rPr>
          <w:rStyle w:val="af4"/>
        </w:rPr>
        <w:t>line</w:t>
      </w:r>
      <w:r>
        <w:t xml:space="preserve"> field and extracts each field.</w:t>
      </w:r>
    </w:p>
    <w:p>
      <w:r>
        <w:t>Parsing from a specific field while preserving the original fields</w:t>
      </w:r>
    </w:p>
    <w:p>
      <w:pPr>
        <w:pStyle w:val="ae"/>
      </w:pPr>
      <w:r>
        <w:t>table duration=1h SYSLOG</w:t>
        <w:cr/>
      </w:r>
      <w:r>
        <w:t xml:space="preserve">   | parseleef field=message overlay=t</w:t>
      </w:r>
    </w:p>
    <w:p>
      <w:r>
        <w:t xml:space="preserve">Parses the </w:t>
      </w:r>
      <w:r>
        <w:rPr>
          <w:rStyle w:val="af4"/>
        </w:rPr>
        <w:t>message</w:t>
      </w:r>
      <w:r>
        <w:t xml:space="preserve"> field and overlays the parsed result onto the original record.</w:t>
      </w:r>
    </w:p>
    <w:p>
      <w:r>
        <w:t>Adding a prefix to output field names</w:t>
      </w:r>
    </w:p>
    <w:p>
      <w:pPr>
        <w:pStyle w:val="ae"/>
      </w:pPr>
      <w:r>
        <w:t>table duration=1h SYSLOG</w:t>
        <w:cr/>
      </w:r>
      <w:r>
        <w:t xml:space="preserve">   | parseleef prefix=leef_</w:t>
      </w:r>
    </w:p>
    <w:p>
      <w:r>
        <w:t xml:space="preserve">Prepends </w:t>
      </w:r>
      <w:r>
        <w:rPr>
          <w:rStyle w:val="af4"/>
        </w:rPr>
        <w:t>leef_</w:t>
      </w:r>
      <w:r>
        <w:t xml:space="preserve"> to all parsed field names. For example, the </w:t>
      </w:r>
      <w:r>
        <w:rPr>
          <w:rStyle w:val="af4"/>
        </w:rPr>
        <w:t>src</w:t>
      </w:r>
      <w:r>
        <w:t xml:space="preserve"> field is output as </w:t>
      </w:r>
      <w:r>
        <w:rPr>
          <w:rStyle w:val="af4"/>
        </w:rPr>
        <w:t>leef_src</w:t>
      </w:r>
      <w:r>
        <w:t>.</w:t>
      </w:r>
    </w:p>
    <w:p>
      <w:pPr>
        <w:pStyle w:val="4"/>
      </w:pPr>
      <w:r>
        <w:t>Compatibility</w:t>
      </w:r>
    </w:p>
    <w:p>
      <w:r>
        <w:t xml:space="preserve">The </w:t>
      </w:r>
      <w:r>
        <w:rPr>
          <w:rStyle w:val="af4"/>
        </w:rPr>
        <w:t>parseleef</w:t>
      </w:r>
      <w:r>
        <w:t xml:space="preserve"> command has been available since before Sonar 4.0.</w:t>
      </w:r>
    </w:p>
    <w:p>
      <w:pPr>
        <w:pStyle w:val="4"/>
      </w:pPr>
      <w:r>
        <w:t>See also</w:t>
      </w:r>
    </w:p>
    <w:p>
      <w:pPr>
        <w:numPr>
          <w:numId w:val="9"/>
        </w:numPr>
        <w:spacing w:before="0" w:after="0"/>
        <w:ind w:left="360" w:hanging="360"/>
      </w:pPr>
      <w:hyperlink r:id="rId10">
        <w:r>
          <w:rPr>
            <w:rStyle w:val="a6"/>
          </w:rPr>
          <w:t>parse</w:t>
        </w:r>
      </w:hyperlink>
      <w:r>
        <w:t xml:space="preserve"> — Extract structured fields from a text field using a predefined parser or text anchor</w:t>
      </w:r>
    </w:p>
    <w:p>
      <w:pPr>
        <w:numPr>
          <w:numId w:val="9"/>
        </w:numPr>
        <w:spacing w:before="0" w:after="0"/>
        <w:ind w:left="360" w:hanging="360"/>
      </w:pPr>
      <w:hyperlink r:id="rId11">
        <w:r>
          <w:rPr>
            <w:rStyle w:val="a6"/>
          </w:rPr>
          <w:t>parsekv</w:t>
        </w:r>
      </w:hyperlink>
      <w:r>
        <w:t xml:space="preserve"> — Parse key=value format strings</w:t>
      </w:r>
    </w:p>
    <w:p>
      <w:pPr>
        <w:numPr>
          <w:numId w:val="9"/>
        </w:numPr>
        <w:spacing w:before="0" w:after="0"/>
        <w:ind w:left="360" w:hanging="360"/>
      </w:pPr>
      <w:hyperlink r:id="rId12">
        <w:r>
          <w:rPr>
            <w:rStyle w:val="a6"/>
          </w:rPr>
          <w:t>parsejson</w:t>
        </w:r>
      </w:hyperlink>
      <w:r>
        <w:t xml:space="preserve"> — Parse JSON format strings</w:t>
      </w:r>
    </w:p>
    <w:p>
      <w:pPr>
        <w:numPr>
          <w:numId w:val="9"/>
        </w:numPr>
        <w:spacing w:before="0" w:after="0"/>
        <w:ind w:left="360" w:hanging="360"/>
      </w:pPr>
      <w:hyperlink r:id="rId13">
        <w:r>
          <w:rPr>
            <w:rStyle w:val="a6"/>
          </w:rPr>
          <w:t>parsexml</w:t>
        </w:r>
      </w:hyperlink>
      <w:r>
        <w:t xml:space="preserve"> — Parse XML format strings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