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system index-tokenizer-instances</w:t>
      </w:r>
    </w:p>
    <w:p>
      <w:r>
        <w:t>Retrieves the current status of tokenizer pools for the specified tables and indexes.</w:t>
      </w:r>
    </w:p>
    <w:p>
      <w:pPr>
        <w:pStyle w:val="4"/>
      </w:pPr>
      <w:r>
        <w:t>Command properties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Property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Command type</w:t>
            </w:r>
          </w:p>
        </w:tc>
        <w:tc>
          <w:p>
            <w:pPr>
              <w:spacing w:before="0" w:after="0"/>
            </w:pPr>
            <w:r>
              <w:t>Driver query</w:t>
            </w:r>
          </w:p>
        </w:tc>
      </w:tr>
      <w:tr>
        <w:tc>
          <w:p>
            <w:pPr>
              <w:spacing w:before="0" w:after="0"/>
            </w:pPr>
            <w:r>
              <w:t>Required permission</w:t>
            </w:r>
          </w:p>
        </w:tc>
        <w:tc>
          <w:p>
            <w:pPr>
              <w:spacing w:before="0" w:after="0"/>
            </w:pPr>
            <w:r>
              <w:t>None (table read permission required)</w:t>
            </w:r>
          </w:p>
        </w:tc>
      </w:tr>
      <w:tr>
        <w:tc>
          <w:p>
            <w:pPr>
              <w:spacing w:before="0" w:after="0"/>
            </w:pPr>
            <w:r>
              <w:t>License usage</w:t>
            </w:r>
          </w:p>
        </w:tc>
        <w:tc>
          <w:p>
            <w:pPr>
              <w:spacing w:before="0" w:after="0"/>
            </w:pPr>
            <w:r>
              <w:t>Not counted</w:t>
            </w:r>
          </w:p>
        </w:tc>
      </w:tr>
      <w:tr>
        <w:tc>
          <w:p>
            <w:pPr>
              <w:spacing w:before="0" w:after="0"/>
            </w:pPr>
            <w:r>
              <w:t>Parallel execution</w:t>
            </w:r>
          </w:p>
        </w:tc>
        <w:tc>
          <w:p>
            <w:pPr>
              <w:spacing w:before="0" w:after="0"/>
            </w:pPr>
            <w:r>
              <w:t>Not supported</w:t>
            </w:r>
          </w:p>
        </w:tc>
      </w:tr>
      <w:tr>
        <w:tc>
          <w:p>
            <w:pPr>
              <w:spacing w:before="0" w:after="0"/>
            </w:pPr>
            <w:r>
              <w:t>Distributed execution</w:t>
            </w:r>
          </w:p>
        </w:tc>
        <w:tc>
          <w:p>
            <w:pPr>
              <w:spacing w:before="0" w:after="0"/>
            </w:pPr>
            <w:r>
              <w:t>Not supported</w:t>
            </w:r>
          </w:p>
        </w:tc>
      </w:tr>
    </w:tbl>
    <w:p>
      <w:pPr>
        <w:pStyle w:val="4"/>
      </w:pPr>
      <w:r>
        <w:t>Syntax</w:t>
      </w:r>
    </w:p>
    <w:p>
      <w:pPr>
        <w:pStyle w:val="ab"/>
      </w:pPr>
      <w:r>
        <w:t>system index-tokenizer-instances [index=STR] [day=STR] [sk=STR] TABLE</w:t>
      </w:r>
    </w:p>
    <w:p>
      <w:pPr>
        <w:pStyle w:val="4"/>
      </w:pPr>
      <w:r>
        <w:t>Options</w:t>
      </w:r>
    </w:p>
    <w:p>
      <w:r>
        <w:rPr>
          <w:rStyle w:val="af4"/>
          <w:b w:val="on"/>
        </w:rPr>
        <w:t>index=STR</w:t>
      </w:r>
    </w:p>
    <w:p>
      <w:pPr>
        <w:ind w:left="400"/>
      </w:pPr>
      <w:r>
        <w:t>Index pattern to query. If not specified, all indexes are queried. You can use wildcards (</w:t>
      </w:r>
      <w:r>
        <w:rPr>
          <w:rStyle w:val="af4"/>
        </w:rPr>
        <w:t>*</w:t>
      </w:r>
      <w:r>
        <w:t>).</w:t>
      </w:r>
    </w:p>
    <w:p>
      <w:r>
        <w:rPr>
          <w:rStyle w:val="af4"/>
          <w:b w:val="on"/>
        </w:rPr>
        <w:t>day=STR</w:t>
      </w:r>
    </w:p>
    <w:p>
      <w:pPr>
        <w:ind w:left="400"/>
      </w:pPr>
      <w:r>
        <w:t xml:space="preserve">Partition date to query, in </w:t>
      </w:r>
      <w:r>
        <w:rPr>
          <w:rStyle w:val="af4"/>
        </w:rPr>
        <w:t>yyyyMMdd</w:t>
      </w:r>
      <w:r>
        <w:t xml:space="preserve"> format. If not specified, the retrieval range is not restricted.</w:t>
      </w:r>
    </w:p>
    <w:p>
      <w:r>
        <w:rPr>
          <w:rStyle w:val="af4"/>
          <w:b w:val="on"/>
        </w:rPr>
        <w:t>sk=STR</w:t>
      </w:r>
    </w:p>
    <w:p>
      <w:pPr>
        <w:ind w:left="400"/>
      </w:pPr>
      <w:r>
        <w:t xml:space="preserve">Partition sub-key as a hexadecimal </w:t>
      </w:r>
      <w:r>
        <w:rPr>
          <w:rStyle w:val="af4"/>
        </w:rPr>
        <w:t>long</w:t>
      </w:r>
      <w:r>
        <w:t xml:space="preserve"> value. If not specified, the retrieval range is not restricted.</w:t>
      </w:r>
    </w:p>
    <w:p>
      <w:pPr>
        <w:pStyle w:val="4"/>
      </w:pPr>
      <w:r>
        <w:t>Targets</w:t>
      </w:r>
    </w:p>
    <w:p>
      <w:r>
        <w:rPr>
          <w:rStyle w:val="af4"/>
          <w:b w:val="on"/>
        </w:rPr>
        <w:t>TABLE</w:t>
      </w:r>
    </w:p>
    <w:p>
      <w:pPr>
        <w:ind w:left="400"/>
      </w:pPr>
      <w:r>
        <w:t>Table pattern to query. Required. You can use wildcards (</w:t>
      </w:r>
      <w:r>
        <w:rPr>
          <w:rStyle w:val="af4"/>
        </w:rPr>
        <w:t>*</w:t>
      </w:r>
      <w:r>
        <w:t>).</w:t>
      </w:r>
    </w:p>
    <w:p>
      <w:pPr>
        <w:pStyle w:val="4"/>
      </w:pPr>
      <w:r>
        <w:t>Output fields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table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Table name</w:t>
            </w:r>
          </w:p>
        </w:tc>
      </w:tr>
      <w:tr>
        <w:tc>
          <w:p>
            <w:pPr>
              <w:spacing w:before="0" w:after="0"/>
            </w:pPr>
            <w:r>
              <w:t>index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Index name</w:t>
            </w:r>
          </w:p>
        </w:tc>
      </w:tr>
      <w:tr>
        <w:tc>
          <w:p>
            <w:pPr>
              <w:spacing w:before="0" w:after="0"/>
            </w:pPr>
            <w:r>
              <w:t>day</w:t>
            </w:r>
          </w:p>
        </w:tc>
        <w:tc>
          <w:p>
            <w:pPr>
              <w:spacing w:before="0" w:after="0"/>
            </w:pPr>
            <w:r>
              <w:t>timestamp</w:t>
            </w:r>
          </w:p>
        </w:tc>
        <w:tc>
          <w:p>
            <w:pPr>
              <w:spacing w:before="0" w:after="0"/>
            </w:pPr>
            <w:r>
              <w:t>Base date of the index partition</w:t>
            </w:r>
          </w:p>
        </w:tc>
      </w:tr>
      <w:tr>
        <w:tc>
          <w:p>
            <w:pPr>
              <w:spacing w:before="0" w:after="0"/>
            </w:pPr>
            <w:r>
              <w:t>sk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Sub-key of the index partition</w:t>
            </w:r>
          </w:p>
        </w:tc>
      </w:tr>
      <w:tr>
        <w:tc>
          <w:p>
            <w:pPr>
              <w:spacing w:before="0" w:after="0"/>
            </w:pPr>
            <w:r>
              <w:t>tokenizer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Tokenizer name</w:t>
            </w:r>
          </w:p>
        </w:tc>
      </w:tr>
      <w:tr>
        <w:tc>
          <w:p>
            <w:pPr>
              <w:spacing w:before="0" w:after="0"/>
            </w:pPr>
            <w:r>
              <w:t>taken_count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Number of objects taken from the tokenizer pool</w:t>
            </w:r>
          </w:p>
        </w:tc>
      </w:tr>
      <w:tr>
        <w:tc>
          <w:p>
            <w:pPr>
              <w:spacing w:before="0" w:after="0"/>
            </w:pPr>
            <w:r>
              <w:t>reserved_count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Number of objects reserved in the tokenizer pool</w:t>
            </w:r>
          </w:p>
        </w:tc>
      </w:tr>
      <w:tr>
        <w:tc>
          <w:p>
            <w:pPr>
              <w:spacing w:before="0" w:after="0"/>
            </w:pPr>
            <w:r>
              <w:t>pool_size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Tokenizer pool size</w:t>
            </w:r>
          </w:p>
        </w:tc>
      </w:tr>
    </w:tbl>
    <w:p>
      <w:pPr>
        <w:pStyle w:val="4"/>
      </w:pPr>
      <w:r>
        <w:t>Error codes</w:t>
      </w:r>
    </w:p>
    <w:p>
      <w:pPr>
        <w:pStyle w:val="a7"/>
      </w:pPr>
      <w:r>
        <w:t>Parsing errors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Error code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Message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95070</w:t>
            </w:r>
          </w:p>
        </w:tc>
        <w:tc>
          <w:p>
            <w:pPr>
              <w:spacing w:before="0" w:after="0"/>
            </w:pPr>
            <w:r>
              <w:t>missing-args</w:t>
            </w:r>
          </w:p>
        </w:tc>
        <w:tc>
          <w:p>
            <w:pPr>
              <w:spacing w:before="0" w:after="0"/>
            </w:pPr>
            <w:r>
              <w:t>Table name was not specified</w:t>
            </w:r>
          </w:p>
        </w:tc>
      </w:tr>
      <w:tr>
        <w:tc>
          <w:p>
            <w:pPr>
              <w:spacing w:before="0" w:after="0"/>
            </w:pPr>
            <w:r>
              <w:t>95073</w:t>
            </w:r>
          </w:p>
        </w:tc>
        <w:tc>
          <w:p>
            <w:pPr>
              <w:spacing w:before="0" w:after="0"/>
            </w:pPr>
            <w:r>
              <w:t>invalid-day</w:t>
            </w:r>
          </w:p>
        </w:tc>
        <w:tc>
          <w:p>
            <w:pPr>
              <w:spacing w:before="0" w:after="0"/>
            </w:pPr>
            <w:r>
              <w:t xml:space="preserve">The </w:t>
            </w:r>
            <w:r>
              <w:rPr>
                <w:rStyle w:val="af4"/>
              </w:rPr>
              <w:t>day</w:t>
            </w:r>
            <w:r>
              <w:t xml:space="preserve"> value is not in </w:t>
            </w:r>
            <w:r>
              <w:rPr>
                <w:rStyle w:val="af4"/>
              </w:rPr>
              <w:t>yyyyMMdd</w:t>
            </w:r>
            <w:r>
              <w:t xml:space="preserve"> format</w:t>
            </w:r>
          </w:p>
        </w:tc>
      </w:tr>
      <w:tr>
        <w:tc>
          <w:p>
            <w:pPr>
              <w:spacing w:before="0" w:after="0"/>
            </w:pPr>
            <w:r>
              <w:t>95074</w:t>
            </w:r>
          </w:p>
        </w:tc>
        <w:tc>
          <w:p>
            <w:pPr>
              <w:spacing w:before="0" w:after="0"/>
            </w:pPr>
            <w:r>
              <w:t>invalid-subkey</w:t>
            </w:r>
          </w:p>
        </w:tc>
        <w:tc>
          <w:p>
            <w:pPr>
              <w:spacing w:before="0" w:after="0"/>
            </w:pPr>
            <w:r>
              <w:t xml:space="preserve">The </w:t>
            </w:r>
            <w:r>
              <w:rPr>
                <w:rStyle w:val="af4"/>
              </w:rPr>
              <w:t>sk</w:t>
            </w:r>
            <w:r>
              <w:t xml:space="preserve"> value is not a valid hexadecimal </w:t>
            </w:r>
            <w:r>
              <w:rPr>
                <w:rStyle w:val="af4"/>
              </w:rPr>
              <w:t>long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95075</w:t>
            </w:r>
          </w:p>
        </w:tc>
        <w:tc>
          <w:p>
            <w:pPr>
              <w:spacing w:before="0" w:after="0"/>
            </w:pPr>
            <w:r>
              <w:t>no-table-read-permission</w:t>
            </w:r>
          </w:p>
        </w:tc>
        <w:tc>
          <w:p>
            <w:pPr>
              <w:spacing w:before="0" w:after="0"/>
            </w:pPr>
            <w:r>
              <w:t>The user does not have read permission for the table</w:t>
            </w:r>
          </w:p>
        </w:tc>
      </w:tr>
    </w:tbl>
    <w:p>
      <w:pPr>
        <w:pStyle w:val="a7"/>
      </w:pPr>
      <w:r>
        <w:t>Runtime errors</w:t>
      </w:r>
    </w:p>
    <w:p>
      <w:r>
        <w:t>N/A</w:t>
      </w:r>
    </w:p>
    <w:p>
      <w:pPr>
        <w:pStyle w:val="4"/>
      </w:pPr>
      <w:r>
        <w:t>Description</w:t>
      </w:r>
    </w:p>
    <w:p>
      <w:r>
        <w:t xml:space="preserve">The </w:t>
      </w:r>
      <w:r>
        <w:rPr>
          <w:rStyle w:val="af4"/>
        </w:rPr>
        <w:t>system index-tokenizer-instances</w:t>
      </w:r>
      <w:r>
        <w:t xml:space="preserve"> command retrieves the status of tokenizer pools used for index building operations. The tokenizer pool reuses tokenizer instances to improve indexing performance.</w:t>
      </w:r>
    </w:p>
    <w:p>
      <w:r>
        <w:t xml:space="preserve">Use the </w:t>
      </w:r>
      <w:r>
        <w:rPr>
          <w:rStyle w:val="af4"/>
        </w:rPr>
        <w:t>taken_count</w:t>
      </w:r>
      <w:r>
        <w:t xml:space="preserve">, </w:t>
      </w:r>
      <w:r>
        <w:rPr>
          <w:rStyle w:val="af4"/>
        </w:rPr>
        <w:t>reserved_count</w:t>
      </w:r>
      <w:r>
        <w:t xml:space="preserve">, and </w:t>
      </w:r>
      <w:r>
        <w:rPr>
          <w:rStyle w:val="af4"/>
        </w:rPr>
        <w:t>pool_size</w:t>
      </w:r>
      <w:r>
        <w:t xml:space="preserve"> fields to check the tokenizer pool usage status for each index partition.</w:t>
      </w:r>
    </w:p>
    <w:p>
      <w:pPr>
        <w:pStyle w:val="4"/>
      </w:pPr>
      <w:r>
        <w:t>Examples</w:t>
      </w:r>
    </w:p>
    <w:p>
      <w:r>
        <w:t>Retrieve tokenizer pools for a specific table</w:t>
      </w:r>
    </w:p>
    <w:p>
      <w:pPr>
        <w:pStyle w:val="ae"/>
      </w:pPr>
      <w:r>
        <w:t>system index-tokenizer-instances SONAR_EVENTS</w:t>
      </w:r>
    </w:p>
    <w:p>
      <w:r>
        <w:t xml:space="preserve">Retrieves the tokenizer pool status for all index partitions of the </w:t>
      </w:r>
      <w:r>
        <w:rPr>
          <w:rStyle w:val="af4"/>
        </w:rPr>
        <w:t>SONAR_EVENTS</w:t>
      </w:r>
      <w:r>
        <w:t xml:space="preserve"> table.</w:t>
      </w:r>
    </w:p>
    <w:p>
      <w:r>
        <w:t>Filter by a specific index and date partition</w:t>
      </w:r>
    </w:p>
    <w:p>
      <w:pPr>
        <w:pStyle w:val="ae"/>
      </w:pPr>
      <w:r>
        <w:t>system index-tokenizer-instances index=default_idx day=20260301 SONAR_EVENTS</w:t>
      </w:r>
    </w:p>
    <w:p>
      <w:r>
        <w:t xml:space="preserve">Retrieves the tokenizer pool status for the March 1, 2026 partition of the </w:t>
      </w:r>
      <w:r>
        <w:rPr>
          <w:rStyle w:val="af4"/>
        </w:rPr>
        <w:t>default_idx</w:t>
      </w:r>
      <w:r>
        <w:t xml:space="preserve"> index in the </w:t>
      </w:r>
      <w:r>
        <w:rPr>
          <w:rStyle w:val="af4"/>
        </w:rPr>
        <w:t>SONAR_EVENTS</w:t>
      </w:r>
      <w:r>
        <w:t xml:space="preserve"> table.</w:t>
      </w:r>
    </w:p>
    <w:p>
      <w:r>
        <w:t>Retrieve partitions with high pool utilization</w:t>
      </w:r>
    </w:p>
    <w:p>
      <w:pPr>
        <w:pStyle w:val="ae"/>
      </w:pPr>
      <w:r>
        <w:t>system index-tokenizer-instances SONAR_*</w:t>
        <w:cr/>
      </w:r>
      <w:r>
        <w:t xml:space="preserve">   | search pool_size &gt; 0</w:t>
        <w:cr/>
      </w:r>
      <w:r>
        <w:t xml:space="preserve">   | eval usage_pct = round(taken_count * 100 / pool_size, 1)</w:t>
        <w:cr/>
      </w:r>
      <w:r>
        <w:t xml:space="preserve">   | fields table, index, day, tokenizer, taken_count, pool_size, usage_pct</w:t>
        <w:cr/>
      </w:r>
      <w:r>
        <w:t xml:space="preserve">   | sort -usage_pct</w:t>
      </w:r>
    </w:p>
    <w:p>
      <w:r>
        <w:t xml:space="preserve">Retrieves tokenizer pool utilization for tables with the </w:t>
      </w:r>
      <w:r>
        <w:rPr>
          <w:rStyle w:val="af4"/>
        </w:rPr>
        <w:t>SONAR_</w:t>
      </w:r>
      <w:r>
        <w:t xml:space="preserve"> prefix.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