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timechart</w:t>
      </w:r>
    </w:p>
    <w:p>
      <w:r>
        <w:t xml:space="preserve">Calculates the result of the aggregate function for every specified time span. If you specify a group field using the </w:t>
      </w:r>
      <w:r>
        <w:rPr>
          <w:rStyle w:val="af4"/>
        </w:rPr>
        <w:t>by</w:t>
      </w:r>
      <w:r>
        <w:t xml:space="preserve"> clause, the field is created as a group field value and the statistics for each field are calculated.</w:t>
      </w:r>
    </w:p>
    <w:p>
      <w:pPr>
        <w:pStyle w:val="4"/>
      </w:pPr>
      <w:r>
        <w:t>Syntax</w:t>
      </w:r>
    </w:p>
    <w:p>
      <w:pPr>
        <w:pStyle w:val="ab"/>
      </w:pPr>
      <w:r>
        <w:t>timechart span=INT{y|mon|w|d|h|m|s} AGGR_FUNC() [as ALIAS], ... [by GRP_FIELD,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span=INT{y|mon|w|d|h|m|s}</w:t>
      </w:r>
    </w:p>
    <w:p>
      <w:pPr>
        <w:ind w:left="400"/>
      </w:pPr>
      <w:r>
        <w:t xml:space="preserve">Time span to create a row group based on the _time field. You can specify time in units of </w:t>
      </w:r>
      <w:r>
        <w:rPr>
          <w:rStyle w:val="af4"/>
        </w:rPr>
        <w:t>s</w:t>
      </w:r>
      <w:r>
        <w:t xml:space="preserve"> (second), </w:t>
      </w:r>
      <w:r>
        <w:rPr>
          <w:rStyle w:val="af4"/>
        </w:rPr>
        <w:t>m</w:t>
      </w:r>
      <w:r>
        <w:t xml:space="preserve"> (minute),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mon</w:t>
      </w:r>
      <w:r>
        <w:t xml:space="preserve"> (month), and </w:t>
      </w:r>
      <w:r>
        <w:rPr>
          <w:rStyle w:val="af4"/>
        </w:rPr>
        <w:t>y</w:t>
      </w:r>
      <w:r>
        <w:t xml:space="preserve"> (year). For example, </w:t>
      </w:r>
      <w:r>
        <w:rPr>
          <w:rStyle w:val="af4"/>
        </w:rPr>
        <w:t>10m</w:t>
      </w:r>
      <w:r>
        <w:t xml:space="preserve"> is a unit of 10 minutes. If you use a unit of month </w:t>
      </w:r>
      <w:r>
        <w:rPr>
          <w:rStyle w:val="af4"/>
        </w:rPr>
        <w:t>mon</w:t>
      </w:r>
      <w:r>
        <w:t xml:space="preserve">, you can specify only </w:t>
      </w:r>
      <w:r>
        <w:rPr>
          <w:rStyle w:val="af4"/>
        </w:rPr>
        <w:t>1mon</w:t>
      </w:r>
      <w:r>
        <w:t xml:space="preserve">, </w:t>
      </w:r>
      <w:r>
        <w:rPr>
          <w:rStyle w:val="af4"/>
        </w:rPr>
        <w:t>2mon</w:t>
      </w:r>
      <w:r>
        <w:t xml:space="preserve">, </w:t>
      </w:r>
      <w:r>
        <w:rPr>
          <w:rStyle w:val="af4"/>
        </w:rPr>
        <w:t>3mon</w:t>
      </w:r>
      <w:r>
        <w:t xml:space="preserve">, </w:t>
      </w:r>
      <w:r>
        <w:rPr>
          <w:rStyle w:val="af4"/>
        </w:rPr>
        <w:t>4mon</w:t>
      </w:r>
      <w:r>
        <w:t xml:space="preserve">, and </w:t>
      </w:r>
      <w:r>
        <w:rPr>
          <w:rStyle w:val="af4"/>
        </w:rPr>
        <w:t>6mon</w:t>
      </w:r>
      <w:r>
        <w:t xml:space="preserve"> among the divisors of 12 to enable aggregation. That is, </w:t>
      </w:r>
      <w:r>
        <w:rPr>
          <w:rStyle w:val="af4"/>
        </w:rPr>
        <w:t>3mon</w:t>
      </w:r>
      <w:r>
        <w:t xml:space="preserve"> is allowed, but </w:t>
      </w:r>
      <w:r>
        <w:rPr>
          <w:rStyle w:val="af4"/>
        </w:rPr>
        <w:t>5mon</w:t>
      </w:r>
      <w:r>
        <w:t xml:space="preserve"> is NOT. You need to use </w:t>
      </w:r>
      <w:r>
        <w:rPr>
          <w:rStyle w:val="af4"/>
        </w:rPr>
        <w:t>1y</w:t>
      </w:r>
      <w:r>
        <w:t xml:space="preserve"> instead of </w:t>
      </w:r>
      <w:r>
        <w:rPr>
          <w:rStyle w:val="af4"/>
        </w:rPr>
        <w:t>12mon</w:t>
      </w:r>
      <w:r>
        <w:t xml:space="preserve">. When the unit is </w:t>
      </w:r>
      <w:r>
        <w:rPr>
          <w:rStyle w:val="af4"/>
        </w:rPr>
        <w:t>y</w:t>
      </w:r>
      <w:r>
        <w:t xml:space="preserve">, only </w:t>
      </w:r>
      <w:r>
        <w:rPr>
          <w:rStyle w:val="af4"/>
        </w:rPr>
        <w:t>1y</w:t>
      </w:r>
      <w:r>
        <w:t xml:space="preserve"> is allowed.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r>
        <w:t xml:space="preserve">Name of a </w:t>
      </w:r>
      <w:hyperlink r:id="rId10">
        <w:r>
          <w:rPr>
            <w:rStyle w:val="a6"/>
          </w:rPr>
          <w:t>aggregate function</w:t>
        </w:r>
      </w:hyperlink>
      <w:r>
        <w:t xml:space="preserve"> (</w:t>
      </w:r>
      <w:r>
        <w:rPr>
          <w:rStyle w:val="af4"/>
        </w:rPr>
        <w:t>AGGR_FUNC</w:t>
      </w:r>
      <w:r>
        <w:t>) and optional alias (</w:t>
      </w:r>
      <w:r>
        <w:rPr>
          <w:rStyle w:val="af4"/>
        </w:rPr>
        <w:t>ALIAS</w:t>
      </w:r>
      <w:r>
        <w:t xml:space="preserve">) with the </w:t>
      </w:r>
      <w:r>
        <w:rPr>
          <w:rStyle w:val="af4"/>
        </w:rPr>
        <w:t>as</w:t>
      </w:r>
      <w:r>
        <w:t xml:space="preserve"> directive as a field name. If no alias is provided, the command uses the function name as the field name, such as </w:t>
      </w:r>
      <w:r>
        <w:rPr>
          <w:rStyle w:val="af4"/>
        </w:rPr>
        <w:t>count()</w:t>
      </w:r>
      <w:r>
        <w:t xml:space="preserve"> and </w:t>
      </w:r>
      <w:r>
        <w:rPr>
          <w:rStyle w:val="af4"/>
        </w:rPr>
        <w:t>sum(sent_pkts)</w:t>
      </w:r>
      <w:r>
        <w:t xml:space="preserve">. It is recommended that you specify an </w:t>
      </w:r>
      <w:r>
        <w:rPr>
          <w:rStyle w:val="af4"/>
        </w:rPr>
        <w:t>ALIAS</w:t>
      </w:r>
      <w:r>
        <w:t>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t xml:space="preserve">Grouping fields with </w:t>
      </w:r>
      <w:r>
        <w:rPr>
          <w:rStyle w:val="af4"/>
        </w:rPr>
        <w:t>by</w:t>
      </w:r>
      <w:r>
        <w:t xml:space="preserve"> directive, separated by a comma(</w:t>
      </w:r>
      <w:r>
        <w:rPr>
          <w:rStyle w:val="af4"/>
        </w:rPr>
        <w:t>,</w:t>
      </w:r>
      <w:r>
        <w:t>).</w:t>
      </w:r>
    </w:p>
    <w:p>
      <w:pPr>
        <w:pStyle w:val="4"/>
      </w:pPr>
      <w:r>
        <w:t>Usage</w:t>
      </w:r>
    </w:p>
    <w:p>
      <w:r>
        <w:t>Count total log occurrences for every 10 minutes.</w:t>
      </w:r>
    </w:p>
    <w:p>
      <w:pPr>
        <w:pStyle w:val="ae"/>
      </w:pPr>
      <w:r>
        <w:t>timechart span=10m count</w:t>
      </w:r>
    </w:p>
    <w:p>
      <w:r>
        <w:t>Show the trend of changes in bytes for every 1 minute.</w:t>
      </w:r>
    </w:p>
    <w:p>
      <w:pPr>
        <w:pStyle w:val="ae"/>
      </w:pPr>
      <w:r>
        <w:t>timechart span=1m sum(bytes)</w:t>
      </w:r>
    </w:p>
    <w:p>
      <w:r>
        <w:t>Count the number of log occurrences for every 1 hour for each destination port.</w:t>
      </w:r>
    </w:p>
    <w:p>
      <w:pPr>
        <w:pStyle w:val="ae"/>
      </w:pPr>
      <w:r>
        <w:t>timechart span=1h count by dst_port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ection-aggregate-function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