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sentries</w:t>
      </w:r>
    </w:p>
    <w:p>
      <w:r>
        <w:t>Deletes the specified sentry agents.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/api/sonar/sentries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DELETE "https://HOSTNAME/api/sonar/sentries?sentry_guids=sentry-001,sentry-002"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sentry_guids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List of sentry identifiers</w:t>
            </w:r>
          </w:p>
        </w:tc>
        <w:tc>
          <w:p>
            <w:pPr>
              <w:spacing w:before="0" w:after="0"/>
            </w:pPr>
            <w:r>
              <w:t>Comma-separated (</w:t>
            </w:r>
            <w:r>
              <w:rPr>
                <w:rStyle w:val="af4"/>
              </w:rPr>
              <w:t>,</w:t>
            </w:r>
            <w:r>
              <w:t>) identifier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"sentry_guids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