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Apps</w:t>
      </w:r>
    </w:p>
    <w:p>
      <w:r>
        <w:t xml:space="preserve">On the </w:t>
      </w:r>
      <w:r>
        <w:t>Apps</w:t>
      </w:r>
      <w:r>
        <w:t xml:space="preserve"> page, you can install apps downloaded from the </w:t>
      </w:r>
      <w:hyperlink r:id="rId10">
        <w:r>
          <w:rPr>
            <w:rStyle w:val="a6"/>
          </w:rPr>
          <w:t>Logpresso Store</w:t>
        </w:r>
      </w:hyperlink>
      <w:r>
        <w:t xml:space="preserve"> to your Logpresso servers.</w:t>
      </w:r>
    </w:p>
    <w:p>
      <w:r>
        <w:t>In versions up to 3.x, a user needs to manually configure dashboard settings such as log schemas, parsers, logger models, real-time or batch scenarios, datasets, networks, port groups, pattern groups, and widgets, in order to monitor collected data (logs) in a dashboard. However, starting with version 4.0, users can easily configure the dashboard, using pre-configured settings within the app itself.</w:t>
      </w:r>
    </w:p>
    <w:p>
      <w:r>
        <w:t>Users can utilize apps based on their assigned permissions.</w:t>
      </w:r>
    </w:p>
    <w:p>
      <w:r>
        <w:drawing>
          <wp:inline distT="0" distR="0" distB="0" distL="0">
            <wp:extent cx="5715000" cy="387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