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Adding a New Ticket Repository</w:t>
      </w:r>
    </w:p>
    <w:p>
      <w:r>
        <w:t xml:space="preserve">On the Ticket Repositories page, click the </w:t>
      </w:r>
      <w:r>
        <w:rPr>
          <w:rStyle w:val="af4"/>
        </w:rPr>
        <w:t>New Repository</w:t>
      </w:r>
      <w:r>
        <w:t xml:space="preserve"> button to enter the new repository menu.</w:t>
      </w:r>
    </w:p>
    <w:p>
      <w:r>
        <w:drawing>
          <wp:inline distT="0" distR="0" distB="0" distL="0">
            <wp:extent cx="5715000" cy="179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Each item of the repository information is as follows:</w:t>
      </w:r>
    </w:p>
    <w:p>
      <w:r>
        <w:rPr>
          <w:b w:val="on"/>
        </w:rPr>
        <w:t>Repository Name</w:t>
      </w:r>
    </w:p>
    <w:p>
      <w:pPr>
        <w:ind w:left="400"/>
      </w:pPr>
      <w:r>
        <w:t>Enter the name of the ticket repository.</w:t>
      </w:r>
    </w:p>
    <w:p>
      <w:r>
        <w:rPr>
          <w:b w:val="on"/>
        </w:rPr>
        <w:t>Repository Type</w:t>
      </w:r>
    </w:p>
    <w:p>
      <w:pPr>
        <w:ind w:left="400"/>
      </w:pPr>
      <w:r>
        <w:t>Specify the type of the ticket repository. The types of ticket repositories are divided into Event and Bulletin.</w:t>
      </w:r>
    </w:p>
    <w:p>
      <w:r>
        <w:rPr>
          <w:b w:val="on"/>
        </w:rPr>
        <w:t>Repository Description</w:t>
      </w:r>
    </w:p>
    <w:p>
      <w:pPr>
        <w:ind w:left="400"/>
      </w:pPr>
      <w:r>
        <w:t>Enter a description for the ticket repository.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