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Tabs</w:t>
      </w:r>
    </w:p>
    <w:p>
      <w:r>
        <w:t>Tabs consist of widgets and containers. When using multiple widgets that contain various pieces of information on a single dashboard, you can group similar widgets together to form a single tab. For more detailed information, please refer to the sections on Adding Tabs and Configuring Tabs.</w:t>
      </w:r>
    </w:p>
    <w:p>
      <w:r>
        <w:drawing>
          <wp:inline distT="0" distR="0" distB="0" distL="0">
            <wp:extent cx="5715000" cy="3644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