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Data Type Selection Results</w:t>
      </w:r>
    </w:p>
    <w:p>
      <w:r>
        <w:t xml:space="preserve">After selecting the data type and query target, clicking the </w:t>
      </w:r>
      <w:r>
        <w:rPr>
          <w:rStyle w:val="af4"/>
        </w:rPr>
        <w:t>Apply</w:t>
      </w:r>
      <w:r>
        <w:t xml:space="preserve"> button will retrieve data that matches the specified data type, query range, and field list. By clicking the </w:t>
      </w:r>
      <w:r>
        <w:rPr>
          <w:rStyle w:val="af4"/>
        </w:rPr>
        <w:t>i</w:t>
      </w:r>
      <w:r>
        <w:t xml:space="preserve"> button (1) in the upper left query target section, you can view the query used for the retrieval. The </w:t>
      </w:r>
      <w:r>
        <w:rPr>
          <w:rStyle w:val="af4"/>
        </w:rPr>
        <w:t>Edit</w:t>
      </w:r>
      <w:r>
        <w:t xml:space="preserve"> button (2) allows you to modify the data type and query conditions.</w:t>
      </w:r>
    </w:p>
    <w:p>
      <w:r>
        <w:t>Due to the result limit filter, the initial query will return a maximum of 10,000 records.</w:t>
      </w:r>
    </w:p>
    <w:p>
      <w:r>
        <w:drawing>
          <wp:inline distT="0" distR="0" distB="0" distL="0">
            <wp:extent cx="5715000" cy="2679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