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a7"/>
      </w:pPr>
      <w:r>
        <w:t>Field Filter</w:t>
      </w:r>
    </w:p>
    <w:p>
      <w:r>
        <w:t>When a field is clicked in the field list, a context menu appears. The list of filters and formulas varies according to the field type. For example, in the case of time-type fields, options for time unit truncation, time difference calculation, and string conversion are displayed. After clicking the filter button, users can apply the desired filter.</w:t>
      </w:r>
    </w:p>
    <w:p>
      <w:r>
        <w:drawing>
          <wp:inline distT="0" distR="0" distB="0" distL="0">
            <wp:extent cx="3594100" cy="49784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94100" cy="497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R="0" distB="0" distL="0">
            <wp:extent cx="5715000" cy="27051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