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4"/>
      </w:pPr>
      <w:r>
        <w:t>Selecting Data Type</w:t>
      </w:r>
    </w:p>
    <w:p>
      <w:r>
        <w:t xml:space="preserve">Choose the type of source data to analyze on the pivot screen. The query settings differ based on the characteristics of the data type. After entering the query settings, click the </w:t>
      </w:r>
      <w:r>
        <w:rPr>
          <w:rStyle w:val="af4"/>
        </w:rPr>
        <w:t>Apply</w:t>
      </w:r>
      <w:r>
        <w:t xml:space="preserve"> button to retrieve the data, and then proceed to the analysis phase using filters and aggregations.</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