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Widget Deletion</w:t>
      </w:r>
    </w:p>
    <w:p>
      <w:r>
        <w:t xml:space="preserve">To delete a widget, select the checkbox next to the desired widget in the widget list and click the </w:t>
      </w:r>
      <w:r>
        <w:rPr>
          <w:rStyle w:val="af4"/>
        </w:rPr>
        <w:t>Delete</w:t>
      </w:r>
      <w:r>
        <w:t xml:space="preserve"> button. A confirmation dialog will appear to verify the deletion. Clicking the </w:t>
      </w:r>
      <w:r>
        <w:rPr>
          <w:rStyle w:val="af4"/>
        </w:rPr>
        <w:t>Delete</w:t>
      </w:r>
      <w:r>
        <w:t xml:space="preserve"> button in the dialog will remove the selected widget. If a widget currently in use on the dashboard is deleted, the deleted widget will no longer display any information, necessitating a readjustment of the dashboard layout.</w:t>
      </w:r>
    </w:p>
    <w:p>
      <w:r>
        <w:drawing>
          <wp:inline distT="0" distR="0" distB="0" distL="0">
            <wp:extent cx="5715000" cy="1803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2997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