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Executing Procedures</w:t>
      </w:r>
    </w:p>
    <w:p>
      <w:r>
        <w:t xml:space="preserve">There are two methods to execute a procedure. You can either directly call the procedure using the PROC command in a query or execute it by clicking the </w:t>
      </w:r>
      <w:r>
        <w:rPr>
          <w:rStyle w:val="af4"/>
        </w:rPr>
        <w:t>Execute</w:t>
      </w:r>
      <w:r>
        <w:t xml:space="preserve"> button for the desired procedure in the procedure menu.</w:t>
      </w:r>
    </w:p>
    <w:p>
      <w:pPr>
        <w:pStyle w:val="a7"/>
      </w:pPr>
      <w:r>
        <w:t>Step 1</w:t>
      </w:r>
    </w:p>
    <w:p>
      <w:r>
        <w:t xml:space="preserve">Click the </w:t>
      </w:r>
      <w:r>
        <w:rPr>
          <w:rStyle w:val="af4"/>
        </w:rPr>
        <w:t>Execute</w:t>
      </w:r>
      <w:r>
        <w:t xml:space="preserve"> button for the desired procedure from the list.</w:t>
      </w:r>
    </w:p>
    <w:p>
      <w:r>
        <w:drawing>
          <wp:inline distT="0" distR="0" distB="0" distL="0">
            <wp:extent cx="5715000" cy="165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Step 2</w:t>
      </w:r>
    </w:p>
    <w:p>
      <w:r>
        <w:t xml:space="preserve">Enter the desired parameter values and click the </w:t>
      </w:r>
      <w:r>
        <w:rPr>
          <w:rStyle w:val="af4"/>
        </w:rPr>
        <w:t>Execute</w:t>
      </w:r>
      <w:r>
        <w:t xml:space="preserve"> button.</w:t>
      </w:r>
    </w:p>
    <w:p>
      <w:r>
        <w:drawing>
          <wp:inline distT="0" distR="0" distB="0" distL="0">
            <wp:extent cx="5715000" cy="252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Step 3</w:t>
      </w:r>
    </w:p>
    <w:p>
      <w:r>
        <w:t>Check the results of the procedure execution in the query window. A procedure call statement will be generated and executed according to the parameters you entered.</w:t>
      </w:r>
    </w:p>
    <w:p>
      <w:pPr>
        <w:pStyle w:val="af1"/>
      </w:pPr>
      <w:r>
        <w:t>You can also directly call the procedure by entering in the format `proc procedure_name(parameter1,parameter2,...)` in the query window.</w:t>
      </w:r>
    </w:p>
    <w:p>
      <w:r>
        <w:drawing>
          <wp:inline distT="0" distR="0" distB="0" distL="0">
            <wp:extent cx="5715000" cy="1536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