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Procedure</w:t>
      </w:r>
    </w:p>
    <w:p>
      <w:r>
        <w:t>A procedure is particularly useful when frequently executing queries with the same content but different parameter values. Once a procedure is created, it can be called using the PROC query statement.</w:t>
      </w:r>
    </w:p>
    <w:p>
      <w:r>
        <w:t>For instance, if you often need to perform a complex query to find a specific IP in a designated table, you can create that query as a procedure and input the IP address as a parameter. This allows you to simply input the desired IP address as a parameter when executing the procedure for the same task.</w:t>
      </w:r>
    </w:p>
    <w:p>
      <w:r>
        <w:t>It is important to note that there are restrictions on the use of parameters in procedure queries to ensure the execution of queries and to prevent injection attacks. Query commands and table names cannot be used as parameters; however, parameters can be used for search conditions.</w:t>
      </w:r>
    </w:p>
    <w:p>
      <w:r>
        <w:drawing>
          <wp:inline distT="0" distR="0" distB="0" distL="0">
            <wp:extent cx="5715000" cy="16510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6510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