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Syslog Facility and Priority Reference</w:t>
      </w:r>
    </w:p>
    <w:p>
      <w:pPr>
        <w:pStyle w:val="2"/>
      </w:pPr>
      <w:r>
        <w:t>Overview</w:t>
      </w:r>
    </w:p>
    <w:p>
      <w:r>
        <w:t xml:space="preserve">Syslog is a standard protocol for transmitting log messages from network devices and systems. Each syslog message indicates priority through a combination of </w:t>
      </w:r>
      <w:r>
        <w:rPr>
          <w:b w:val="on"/>
        </w:rPr>
        <w:t>Facility</w:t>
      </w:r>
      <w:r>
        <w:t xml:space="preserve"> and </w:t>
      </w:r>
      <w:r>
        <w:rPr>
          <w:b w:val="on"/>
        </w:rPr>
        <w:t>Severity</w:t>
      </w:r>
      <w:r>
        <w:t xml:space="preserve">, which is calculated as a </w:t>
      </w:r>
      <w:r>
        <w:rPr>
          <w:b w:val="on"/>
        </w:rPr>
        <w:t>PRI constant value</w:t>
      </w:r>
      <w:r>
        <w:t>.</w:t>
      </w:r>
    </w:p>
    <w:p>
      <w:pPr>
        <w:pStyle w:val="2"/>
      </w:pPr>
      <w:r>
        <w:t>PRI Constant Value Calculation Method</w:t>
      </w:r>
    </w:p>
    <w:p>
      <w:r>
        <w:t>The PRI constant value is calculated using the following formula:</w:t>
      </w:r>
    </w:p>
    <w:p>
      <w:pPr>
        <w:pStyle w:val="ae"/>
      </w:pPr>
      <w:r>
        <w:t>PRI = Facility × 8 + Severity</w:t>
      </w:r>
    </w:p>
    <w:p>
      <w:pPr>
        <w:pStyle w:val="3"/>
      </w:pPr>
      <w:r>
        <w:t>Calculation Example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Facility</w:t>
      </w:r>
      <w:r>
        <w:t>: 16 (local0)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Severity</w:t>
      </w:r>
      <w:r>
        <w:t>: 6 (info)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 Constant Value</w:t>
      </w:r>
      <w:r>
        <w:t>: 16 × 8 + 6 = 134</w:t>
      </w:r>
    </w:p>
    <w:p>
      <w:pPr>
        <w:pStyle w:val="2"/>
      </w:pPr>
      <w:r>
        <w:t>Facility Codes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kern</w:t>
            </w:r>
          </w:p>
        </w:tc>
        <w:tc>
          <w:p>
            <w:pPr>
              <w:spacing w:before="0" w:after="0"/>
            </w:pPr>
            <w:r>
              <w:t>Kernel messages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User-level messages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mail</w:t>
            </w:r>
          </w:p>
        </w:tc>
        <w:tc>
          <w:p>
            <w:pPr>
              <w:spacing w:before="0" w:after="0"/>
            </w:pPr>
            <w:r>
              <w:t>Mail system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daemon</w:t>
            </w:r>
          </w:p>
        </w:tc>
        <w:tc>
          <w:p>
            <w:pPr>
              <w:spacing w:before="0" w:after="0"/>
            </w:pPr>
            <w:r>
              <w:t>System daemons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auth</w:t>
            </w:r>
          </w:p>
        </w:tc>
        <w:tc>
          <w:p>
            <w:pPr>
              <w:spacing w:before="0" w:after="0"/>
            </w:pPr>
            <w:r>
              <w:t>Security/authorization messages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syslog</w:t>
            </w:r>
          </w:p>
        </w:tc>
        <w:tc>
          <w:p>
            <w:pPr>
              <w:spacing w:before="0" w:after="0"/>
            </w:pPr>
            <w:r>
              <w:t>Messages generated internally by syslogd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lpr</w:t>
            </w:r>
          </w:p>
        </w:tc>
        <w:tc>
          <w:p>
            <w:pPr>
              <w:spacing w:before="0" w:after="0"/>
            </w:pPr>
            <w:r>
              <w:t>Line printer subsystem</w:t>
            </w:r>
          </w:p>
        </w:tc>
      </w:tr>
      <w:tr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news</w:t>
            </w:r>
          </w:p>
        </w:tc>
        <w:tc>
          <w:p>
            <w:pPr>
              <w:spacing w:before="0" w:after="0"/>
            </w:pPr>
            <w:r>
              <w:t>Network news subsystem</w:t>
            </w:r>
          </w:p>
        </w:tc>
      </w:tr>
      <w:tr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uucp</w:t>
            </w:r>
          </w:p>
        </w:tc>
        <w:tc>
          <w:p>
            <w:pPr>
              <w:spacing w:before="0" w:after="0"/>
            </w:pPr>
            <w:r>
              <w:t>UUCP subsystem</w:t>
            </w:r>
          </w:p>
        </w:tc>
      </w:tr>
      <w:tr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clock</w:t>
            </w:r>
          </w:p>
        </w:tc>
        <w:tc>
          <w:p>
            <w:pPr>
              <w:spacing w:before="0" w:after="0"/>
            </w:pPr>
            <w:r>
              <w:t>Clock daemon</w:t>
            </w:r>
          </w:p>
        </w:tc>
      </w:tr>
      <w:tr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authpriv</w:t>
            </w:r>
          </w:p>
        </w:tc>
        <w:tc>
          <w:p>
            <w:pPr>
              <w:spacing w:before="0" w:after="0"/>
            </w:pPr>
            <w:r>
              <w:t>Security/authorization messages</w:t>
            </w:r>
          </w:p>
        </w:tc>
      </w:tr>
      <w:tr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ftp</w:t>
            </w:r>
          </w:p>
        </w:tc>
        <w:tc>
          <w:p>
            <w:pPr>
              <w:spacing w:before="0" w:after="0"/>
            </w:pPr>
            <w:r>
              <w:t>FTP daemon</w:t>
            </w:r>
          </w:p>
        </w:tc>
      </w:tr>
      <w:tr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ntp</w:t>
            </w:r>
          </w:p>
        </w:tc>
        <w:tc>
          <w:p>
            <w:pPr>
              <w:spacing w:before="0" w:after="0"/>
            </w:pPr>
            <w:r>
              <w:t>NTP subsystem</w:t>
            </w:r>
          </w:p>
        </w:tc>
      </w:tr>
      <w:tr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audit</w:t>
            </w:r>
          </w:p>
        </w:tc>
        <w:tc>
          <w:p>
            <w:pPr>
              <w:spacing w:before="0" w:after="0"/>
            </w:pPr>
            <w:r>
              <w:t>Log audit</w:t>
            </w:r>
          </w:p>
        </w:tc>
      </w:tr>
      <w:tr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alert</w:t>
            </w:r>
          </w:p>
        </w:tc>
        <w:tc>
          <w:p>
            <w:pPr>
              <w:spacing w:before="0" w:after="0"/>
            </w:pPr>
            <w:r>
              <w:t>Log alert</w:t>
            </w:r>
          </w:p>
        </w:tc>
      </w:tr>
      <w:tr>
        <w:tc>
          <w:p>
            <w:pPr>
              <w:spacing w:before="0" w:after="0"/>
            </w:pPr>
            <w:r>
              <w:t>15</w:t>
            </w:r>
          </w:p>
        </w:tc>
        <w:tc>
          <w:p>
            <w:pPr>
              <w:spacing w:before="0" w:after="0"/>
            </w:pPr>
            <w:r>
              <w:t>solaris-cron</w:t>
            </w:r>
          </w:p>
        </w:tc>
        <w:tc>
          <w:p>
            <w:pPr>
              <w:spacing w:before="0" w:after="0"/>
            </w:pPr>
            <w:r>
              <w:t>Clock daemon (Solaris)</w:t>
            </w:r>
          </w:p>
        </w:tc>
      </w:tr>
      <w:tr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local0</w:t>
            </w:r>
          </w:p>
        </w:tc>
        <w:tc>
          <w:p>
            <w:pPr>
              <w:spacing w:before="0" w:after="0"/>
            </w:pPr>
            <w:r>
              <w:t>Local use facility 0</w:t>
            </w:r>
          </w:p>
        </w:tc>
      </w:tr>
      <w:tr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local1</w:t>
            </w:r>
          </w:p>
        </w:tc>
        <w:tc>
          <w:p>
            <w:pPr>
              <w:spacing w:before="0" w:after="0"/>
            </w:pPr>
            <w:r>
              <w:t>Local use facility 1</w:t>
            </w:r>
          </w:p>
        </w:tc>
      </w:tr>
      <w:tr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local2</w:t>
            </w:r>
          </w:p>
        </w:tc>
        <w:tc>
          <w:p>
            <w:pPr>
              <w:spacing w:before="0" w:after="0"/>
            </w:pPr>
            <w:r>
              <w:t>Local use facility 2</w:t>
            </w:r>
          </w:p>
        </w:tc>
      </w:tr>
      <w:tr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local3</w:t>
            </w:r>
          </w:p>
        </w:tc>
        <w:tc>
          <w:p>
            <w:pPr>
              <w:spacing w:before="0" w:after="0"/>
            </w:pPr>
            <w:r>
              <w:t>Local use facility 3</w:t>
            </w:r>
          </w:p>
        </w:tc>
      </w:tr>
      <w:tr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local4</w:t>
            </w:r>
          </w:p>
        </w:tc>
        <w:tc>
          <w:p>
            <w:pPr>
              <w:spacing w:before="0" w:after="0"/>
            </w:pPr>
            <w:r>
              <w:t>Local use facility 4</w:t>
            </w:r>
          </w:p>
        </w:tc>
      </w:tr>
      <w:tr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local5</w:t>
            </w:r>
          </w:p>
        </w:tc>
        <w:tc>
          <w:p>
            <w:pPr>
              <w:spacing w:before="0" w:after="0"/>
            </w:pPr>
            <w:r>
              <w:t>Local use facility 5</w:t>
            </w:r>
          </w:p>
        </w:tc>
      </w:tr>
      <w:tr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local6</w:t>
            </w:r>
          </w:p>
        </w:tc>
        <w:tc>
          <w:p>
            <w:pPr>
              <w:spacing w:before="0" w:after="0"/>
            </w:pPr>
            <w:r>
              <w:t>Local use facility 6</w:t>
            </w:r>
          </w:p>
        </w:tc>
      </w:tr>
      <w:tr>
        <w:tc>
          <w:p>
            <w:pPr>
              <w:spacing w:before="0" w:after="0"/>
            </w:pPr>
            <w:r>
              <w:t>23</w:t>
            </w:r>
          </w:p>
        </w:tc>
        <w:tc>
          <w:p>
            <w:pPr>
              <w:spacing w:before="0" w:after="0"/>
            </w:pPr>
            <w:r>
              <w:t>local7</w:t>
            </w:r>
          </w:p>
        </w:tc>
        <w:tc>
          <w:p>
            <w:pPr>
              <w:spacing w:before="0" w:after="0"/>
            </w:pPr>
            <w:r>
              <w:t>Local use facility 7</w:t>
            </w:r>
          </w:p>
        </w:tc>
      </w:tr>
    </w:tbl>
    <w:p>
      <w:pPr>
        <w:pStyle w:val="2"/>
      </w:pPr>
      <w:r>
        <w:t>Severity Codes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Severity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emerg</w:t>
            </w:r>
          </w:p>
        </w:tc>
        <w:tc>
          <w:p>
            <w:pPr>
              <w:spacing w:before="0" w:after="0"/>
            </w:pPr>
            <w:r>
              <w:t>Emergency: system is unusable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alert</w:t>
            </w:r>
          </w:p>
        </w:tc>
        <w:tc>
          <w:p>
            <w:pPr>
              <w:spacing w:before="0" w:after="0"/>
            </w:pPr>
            <w:r>
              <w:t>Alert: action must be taken immediately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crit</w:t>
            </w:r>
          </w:p>
        </w:tc>
        <w:tc>
          <w:p>
            <w:pPr>
              <w:spacing w:before="0" w:after="0"/>
            </w:pPr>
            <w:r>
              <w:t>Critical: critical conditions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error</w:t>
            </w:r>
          </w:p>
        </w:tc>
        <w:tc>
          <w:p>
            <w:pPr>
              <w:spacing w:before="0" w:after="0"/>
            </w:pPr>
            <w:r>
              <w:t>Error: error conditions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warn</w:t>
            </w:r>
          </w:p>
        </w:tc>
        <w:tc>
          <w:p>
            <w:pPr>
              <w:spacing w:before="0" w:after="0"/>
            </w:pPr>
            <w:r>
              <w:t>Warning: warning conditions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notice</w:t>
            </w:r>
          </w:p>
        </w:tc>
        <w:tc>
          <w:p>
            <w:pPr>
              <w:spacing w:before="0" w:after="0"/>
            </w:pPr>
            <w:r>
              <w:t>Notice: normal but significant condition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info</w:t>
            </w:r>
          </w:p>
        </w:tc>
        <w:tc>
          <w:p>
            <w:pPr>
              <w:spacing w:before="0" w:after="0"/>
            </w:pPr>
            <w:r>
              <w:t>Informational: informational messages</w:t>
            </w:r>
          </w:p>
        </w:tc>
      </w:tr>
      <w:tr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debug</w:t>
            </w:r>
          </w:p>
        </w:tc>
        <w:tc>
          <w:p>
            <w:pPr>
              <w:spacing w:before="0" w:after="0"/>
            </w:pPr>
            <w:r>
              <w:t>Debug: debug-level messages</w:t>
            </w:r>
          </w:p>
        </w:tc>
      </w:tr>
    </w:tbl>
    <w:p>
      <w:pPr>
        <w:pStyle w:val="2"/>
      </w:pPr>
      <w:r>
        <w:t>PRI Constant Value Reference Table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daemon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t>134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</w:pPr>
            <w:r>
              <w:t>191</w:t>
            </w:r>
          </w:p>
        </w:tc>
      </w:tr>
    </w:tbl>
    <w:p>
      <w:pPr>
        <w:pStyle w:val="2"/>
      </w:pPr>
      <w:r>
        <w:t>Usage</w:t>
      </w:r>
    </w:p>
    <w:p>
      <w:pPr>
        <w:pStyle w:val="3"/>
      </w:pPr>
      <w:r>
        <w:t>Using in Logpresso Sonar</w:t>
      </w:r>
    </w:p>
    <w:p>
      <w:r>
        <w:t xml:space="preserve">Enter the desired PRI constant values in the </w:t>
      </w:r>
      <w:r>
        <w:rPr>
          <w:b w:val="on"/>
        </w:rPr>
        <w:t>Syslog Facility List</w:t>
      </w:r>
      <w:r>
        <w:t xml:space="preserve"> field when configuring the syslog collector: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Single value</w:t>
      </w:r>
      <w:r>
        <w:t xml:space="preserve">: </w:t>
      </w:r>
      <w:r>
        <w:rPr>
          <w:rStyle w:val="af4"/>
        </w:rPr>
        <w:t>134</w:t>
      </w:r>
      <w:r>
        <w:t xml:space="preserve"> (local0.info)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Multiple values</w:t>
      </w:r>
      <w:r>
        <w:t xml:space="preserve">: </w:t>
      </w:r>
      <w:r>
        <w:rPr>
          <w:rStyle w:val="af4"/>
        </w:rPr>
        <w:t>134,135,136</w:t>
      </w:r>
      <w:r>
        <w:t xml:space="preserve"> (local0's info, debug, local1's emerg)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All values</w:t>
      </w:r>
      <w:r>
        <w:t>: Leave empty.</w:t>
      </w:r>
    </w:p>
    <w:p>
      <w:pPr>
        <w:pStyle w:val="3"/>
      </w:pPr>
      <w:r>
        <w:t>Special Values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Empty value</w:t>
      </w:r>
      <w:r>
        <w:t>: Equivalent to entering all facility values (collects all messages)</w:t>
      </w:r>
    </w:p>
    <w:p>
      <w:pPr>
        <w:pStyle w:val="2"/>
      </w:pPr>
      <w:r>
        <w:t>References</w:t>
      </w:r>
    </w:p>
    <w:p>
      <w:pPr>
        <w:numPr>
          <w:numId w:val="9"/>
        </w:numPr>
        <w:spacing w:before="0" w:after="0"/>
        <w:ind w:left="360" w:hanging="360"/>
      </w:pPr>
      <w:hyperlink r:id="rId10">
        <w:r>
          <w:rPr>
            <w:rStyle w:val="a6"/>
          </w:rPr>
          <w:t>RFC 5424 - The Syslog Protocol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11">
        <w:r>
          <w:rPr>
            <w:rStyle w:val="a6"/>
          </w:rPr>
          <w:t>RFC 3164 - The BSD Syslog Protocol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5424" TargetMode="External" Type="http://schemas.openxmlformats.org/officeDocument/2006/relationships/hyperlink"/><Relationship Id="rId11" Target="https://tools.ietf.org/html/rfc3164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