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Direct Input of Filter Content</w:t>
      </w:r>
    </w:p>
    <w:p>
      <w:r>
        <w:t xml:space="preserve">You can directly input filter query statements by clicking the </w:t>
      </w:r>
      <w:r>
        <w:rPr>
          <w:rStyle w:val="af4"/>
        </w:rPr>
        <w:t>+</w:t>
      </w:r>
      <w:r>
        <w:t xml:space="preserve"> button located to the right of the input/result filter items.</w:t>
      </w:r>
    </w:p>
    <w:p>
      <w:r>
        <w:t>Input filters are applied before aggregation operations, while result filters are applied after aggregation operations.</w:t>
      </w:r>
    </w:p>
    <w:p>
      <w:r>
        <w:t>There are two types of filters: general filters and dynamic filters.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General Filter</w:t>
      </w:r>
      <w:r>
        <w:t>: A filter that is applied based on the entered query statement.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Dynamic Filter</w:t>
      </w:r>
      <w:r>
        <w:t>: A filter that is applied dynamically based on the values of user-defined variables. This is used when you want to filter using user-defined variable values within the dashboard. User-defined variable values can be entered by creating input control widgets.</w:t>
      </w:r>
    </w:p>
    <w:p>
      <w:r>
        <w:drawing>
          <wp:inline distT="0" distR="0" distB="0" distL="0">
            <wp:extent cx="5080000" cy="194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71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324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