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Start behavior profile build</w:t>
      </w:r>
    </w:p>
    <w:p>
      <w:r>
        <w:t>Starts a build of the specified behavior profile. The build runs as an asynchronous job.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/api/sonar/behavior-profiles/:guid/build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https://HOSTNAME/api/sonar/behavior-profiles/a1b2c3d4-e5f6-7890-abcd-ef1234567890/build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Behavior profile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guid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Behavior profile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"profile-not-found"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