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SSO Provider</w:t>
      </w:r>
    </w:p>
    <w:p>
      <w:r>
        <w:t>Disables the specified SSO provider.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/api/sonar/sso-providers/:id/disable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https://HOSTNAME/api/sonar/sso-providers/saml/disable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</w:t>
      </w:r>
    </w:p>
    <w:p>
      <w:pPr>
        <w:pStyle w:val="a7"/>
      </w:pPr>
      <w:r>
        <w:t>When the SSO provider does not exist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When the SSO provider configuration does not exist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When lacking SSO provider management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