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Drop Table</w:t>
      </w:r>
    </w:p>
    <w:p>
      <w:r>
        <w:t>Drops a specified table.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</w:tbl>
    <w:p>
      <w:pPr>
        <w:pStyle w:val="af1"/>
      </w:pPr>
      <w:r>
        <w:t>Table names must start with a letter and may contain alphanumeric characters, underscores, and hyphens.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table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name violates naming rules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Table is used by loggers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with failure object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"loggers": ["logger1", "logger2"],</w:t>
        <w:cr/>
      </w:r>
      <w:r>
        <w:t xml:space="preserve">    "message": "table used in loggers"</w:t>
        <w:cr/>
      </w:r>
      <w:r>
        <w:t xml:space="preserve">  }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