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Global Configs</w:t>
      </w:r>
    </w:p>
    <w:p>
      <w:r>
        <w:t xml:space="preserve">Gets every global config key and value applied across the system. Sensitive keys (SMTP password, LDAP bind password) are returned as </w:t>
      </w:r>
      <w:r>
        <w:rPr>
          <w:rStyle w:val="af4"/>
        </w:rPr>
        <w:t>********</w:t>
      </w:r>
      <w:r>
        <w:t>.</w:t>
      </w:r>
    </w:p>
    <w:p>
      <w:pPr>
        <w:pStyle w:val="4"/>
      </w:pPr>
      <w:r>
        <w:t>Required Permissions</w:t>
      </w:r>
    </w:p>
    <w:p>
      <w:r>
        <w:t>Requires the Master role.</w:t>
      </w:r>
    </w:p>
    <w:p>
      <w:pPr>
        <w:pStyle w:val="4"/>
      </w:pPr>
      <w:r>
        <w:t>HTTP Request</w:t>
      </w:r>
    </w:p>
    <w:p>
      <w:pPr>
        <w:pStyle w:val="ab"/>
      </w:pPr>
      <w:r>
        <w:t>GET /api/sonar/global-configs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https://HOSTNAME/api/sonar/global-configs</w:t>
      </w:r>
    </w:p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"global_configs": {</w:t>
        <w:cr/>
      </w:r>
      <w:r>
        <w:t xml:space="preserve">    "smtp_host": "smtp.example.com",</w:t>
        <w:cr/>
      </w:r>
      <w:r>
        <w:t xml:space="preserve">    "smtp_port": "25",</w:t>
        <w:cr/>
      </w:r>
      <w:r>
        <w:t xml:space="preserve">    "smtp_pass": "********",</w:t>
        <w:cr/>
      </w:r>
      <w:r>
        <w:t xml:space="preserve">    "ldap_host": "ldap.example.com",</w:t>
        <w:cr/>
      </w:r>
      <w:r>
        <w:t xml:space="preserve">    "ldap_bind_password": "********",</w:t>
        <w:cr/>
      </w:r>
      <w:r>
        <w:t xml:space="preserve">    "min_password_len": "8",</w:t>
        <w:cr/>
      </w:r>
      <w:r>
        <w:t xml:space="preserve">    "max_password_len": "64"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global_configs</w:t>
      </w:r>
      <w:r>
        <w:t xml:space="preserve"> (Map): Global config key/value pairs.</w:t>
      </w:r>
    </w:p>
    <w:p>
      <w:r>
        <w:t>The global config keys are categorized as follows.</w:t>
      </w:r>
    </w:p>
    <w:p>
      <w:pPr>
        <w:pStyle w:val="a7"/>
      </w:pPr>
      <w:r>
        <w:t>System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api_key</w:t>
            </w:r>
          </w:p>
        </w:tc>
        <w:tc>
          <w:p>
            <w:pPr>
              <w:spacing w:before="0" w:after="0"/>
            </w:pPr>
            <w:r>
              <w:t>API key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System version</w:t>
            </w:r>
          </w:p>
        </w:tc>
      </w:tr>
      <w:tr>
        <w:tc>
          <w:p>
            <w:pPr>
              <w:spacing w:before="0" w:after="0"/>
            </w:pPr>
            <w:r>
              <w:t>web_endpoint</w:t>
            </w:r>
          </w:p>
        </w:tc>
        <w:tc>
          <w:p>
            <w:pPr>
              <w:spacing w:before="0" w:after="0"/>
            </w:pPr>
            <w:r>
              <w:t>Web console endpoint</w:t>
            </w:r>
          </w:p>
        </w:tc>
      </w:tr>
      <w:tr>
        <w:tc>
          <w:p>
            <w:pPr>
              <w:spacing w:before="0" w:after="0"/>
            </w:pPr>
            <w:r>
              <w:t>experimental</w:t>
            </w:r>
          </w:p>
        </w:tc>
        <w:tc>
          <w:p>
            <w:pPr>
              <w:spacing w:before="0" w:after="0"/>
            </w:pPr>
            <w:r>
              <w:t>Whether experimental features are enabled</w:t>
            </w:r>
          </w:p>
        </w:tc>
      </w:tr>
      <w:tr>
        <w:tc>
          <w:p>
            <w:pPr>
              <w:spacing w:before="0" w:after="0"/>
            </w:pPr>
            <w:r>
              <w:t>browser_title</w:t>
            </w:r>
          </w:p>
        </w:tc>
        <w:tc>
          <w:p>
            <w:pPr>
              <w:spacing w:before="0" w:after="0"/>
            </w:pPr>
            <w:r>
              <w:t>Browser tab title</w:t>
            </w:r>
          </w:p>
        </w:tc>
      </w:tr>
      <w:tr>
        <w:tc>
          <w:p>
            <w:pPr>
              <w:spacing w:before="0" w:after="0"/>
            </w:pPr>
            <w:r>
              <w:t>app_menu_path</w:t>
            </w:r>
          </w:p>
        </w:tc>
        <w:tc>
          <w:p>
            <w:pPr>
              <w:spacing w:before="0" w:after="0"/>
            </w:pPr>
            <w:r>
              <w:t>App menu path</w:t>
            </w:r>
          </w:p>
        </w:tc>
      </w:tr>
      <w:tr>
        <w:tc>
          <w:p>
            <w:pPr>
              <w:spacing w:before="0" w:after="0"/>
            </w:pPr>
            <w:r>
              <w:t>app_menu_height</w:t>
            </w:r>
          </w:p>
        </w:tc>
        <w:tc>
          <w:p>
            <w:pPr>
              <w:spacing w:before="0" w:after="0"/>
            </w:pPr>
            <w:r>
              <w:t>App menu height</w:t>
            </w:r>
          </w:p>
        </w:tc>
      </w:tr>
      <w:tr>
        <w:tc>
          <w:p>
            <w:pPr>
              <w:spacing w:before="0" w:after="0"/>
            </w:pPr>
            <w:r>
              <w:t>login_path</w:t>
            </w:r>
          </w:p>
        </w:tc>
        <w:tc>
          <w:p>
            <w:pPr>
              <w:spacing w:before="0" w:after="0"/>
            </w:pPr>
            <w:r>
              <w:t>Login page path</w:t>
            </w:r>
          </w:p>
        </w:tc>
      </w:tr>
      <w:tr>
        <w:tc>
          <w:p>
            <w:pPr>
              <w:spacing w:before="0" w:after="0"/>
            </w:pPr>
            <w:r>
              <w:t>login_logo_width</w:t>
            </w:r>
          </w:p>
        </w:tc>
        <w:tc>
          <w:p>
            <w:pPr>
              <w:spacing w:before="0" w:after="0"/>
            </w:pPr>
            <w:r>
              <w:t>Login page logo width</w:t>
            </w:r>
          </w:p>
        </w:tc>
      </w:tr>
      <w:tr>
        <w:tc>
          <w:p>
            <w:pPr>
              <w:spacing w:before="0" w:after="0"/>
            </w:pPr>
            <w:r>
              <w:t>login_logo_height</w:t>
            </w:r>
          </w:p>
        </w:tc>
        <w:tc>
          <w:p>
            <w:pPr>
              <w:spacing w:before="0" w:after="0"/>
            </w:pPr>
            <w:r>
              <w:t>Login page logo height</w:t>
            </w:r>
          </w:p>
        </w:tc>
      </w:tr>
      <w:tr>
        <w:tc>
          <w:p>
            <w:pPr>
              <w:spacing w:before="0" w:after="0"/>
            </w:pPr>
            <w:r>
              <w:t>menu_logo_width</w:t>
            </w:r>
          </w:p>
        </w:tc>
        <w:tc>
          <w:p>
            <w:pPr>
              <w:spacing w:before="0" w:after="0"/>
            </w:pPr>
            <w:r>
              <w:t>Menu logo width</w:t>
            </w:r>
          </w:p>
        </w:tc>
      </w:tr>
      <w:tr>
        <w:tc>
          <w:p>
            <w:pPr>
              <w:spacing w:before="0" w:after="0"/>
            </w:pPr>
            <w:r>
              <w:t>menu_logo_height</w:t>
            </w:r>
          </w:p>
        </w:tc>
        <w:tc>
          <w:p>
            <w:pPr>
              <w:spacing w:before="0" w:after="0"/>
            </w:pPr>
            <w:r>
              <w:t>Menu logo height</w:t>
            </w:r>
          </w:p>
        </w:tc>
      </w:tr>
      <w:tr>
        <w:tc>
          <w:p>
            <w:pPr>
              <w:spacing w:before="0" w:after="0"/>
            </w:pPr>
            <w:r>
              <w:t>index_path</w:t>
            </w:r>
          </w:p>
        </w:tc>
        <w:tc>
          <w:p>
            <w:pPr>
              <w:spacing w:before="0" w:after="0"/>
            </w:pPr>
            <w:r>
              <w:t>Index path</w:t>
            </w:r>
          </w:p>
        </w:tc>
      </w:tr>
    </w:tbl>
    <w:p>
      <w:pPr>
        <w:pStyle w:val="a7"/>
      </w:pPr>
      <w:r>
        <w:t>Authentication and Session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trust_host_count</w:t>
            </w:r>
          </w:p>
        </w:tc>
        <w:tc>
          <w:p>
            <w:pPr>
              <w:spacing w:before="0" w:after="0"/>
            </w:pPr>
            <w:r>
              <w:t>Number of trusted hosts</w:t>
            </w:r>
          </w:p>
        </w:tc>
      </w:tr>
      <w:tr>
        <w:tc>
          <w:p>
            <w:pPr>
              <w:spacing w:before="0" w:after="0"/>
            </w:pPr>
            <w:r>
              <w:t>block_concurrent_admin</w:t>
            </w:r>
          </w:p>
        </w:tc>
        <w:tc>
          <w:p>
            <w:pPr>
              <w:spacing w:before="0" w:after="0"/>
            </w:pPr>
            <w:r>
              <w:t>Whether concurrent admin login is blocked</w:t>
            </w:r>
          </w:p>
        </w:tc>
      </w:tr>
      <w:tr>
        <w:tc>
          <w:p>
            <w:pPr>
              <w:spacing w:before="0" w:after="0"/>
            </w:pPr>
            <w:r>
              <w:t>block_concurrent_login</w:t>
            </w:r>
          </w:p>
        </w:tc>
        <w:tc>
          <w:p>
            <w:pPr>
              <w:spacing w:before="0" w:after="0"/>
            </w:pPr>
            <w:r>
              <w:t>Whether concurrent user login is blocked</w:t>
            </w:r>
          </w:p>
        </w:tc>
      </w:tr>
      <w:tr>
        <w:tc>
          <w:p>
            <w:pPr>
              <w:spacing w:before="0" w:after="0"/>
            </w:pPr>
            <w:r>
              <w:t>inactive_account_period</w:t>
            </w:r>
          </w:p>
        </w:tc>
        <w:tc>
          <w:p>
            <w:pPr>
              <w:spacing w:before="0" w:after="0"/>
            </w:pPr>
            <w:r>
              <w:t>Inactive account period (days)</w:t>
            </w:r>
          </w:p>
        </w:tc>
      </w:tr>
      <w:tr>
        <w:tc>
          <w:p>
            <w:pPr>
              <w:spacing w:before="0" w:after="0"/>
            </w:pPr>
            <w:r>
              <w:t>min_password_len</w:t>
            </w:r>
          </w:p>
        </w:tc>
        <w:tc>
          <w:p>
            <w:pPr>
              <w:spacing w:before="0" w:after="0"/>
            </w:pPr>
            <w:r>
              <w:t>Minimum password length</w:t>
            </w:r>
          </w:p>
        </w:tc>
      </w:tr>
      <w:tr>
        <w:tc>
          <w:p>
            <w:pPr>
              <w:spacing w:before="0" w:after="0"/>
            </w:pPr>
            <w:r>
              <w:t>max_password_len</w:t>
            </w:r>
          </w:p>
        </w:tc>
        <w:tc>
          <w:p>
            <w:pPr>
              <w:spacing w:before="0" w:after="0"/>
            </w:pPr>
            <w:r>
              <w:t>Maximum password length</w:t>
            </w:r>
          </w:p>
        </w:tc>
      </w:tr>
      <w:tr>
        <w:tc>
          <w:p>
            <w:pPr>
              <w:spacing w:before="0" w:after="0"/>
            </w:pPr>
            <w:r>
              <w:t>password_complexity</w:t>
            </w:r>
          </w:p>
        </w:tc>
        <w:tc>
          <w:p>
            <w:pPr>
              <w:spacing w:before="0" w:after="0"/>
            </w:pPr>
            <w:r>
              <w:t>Password complexity policy</w:t>
            </w:r>
          </w:p>
        </w:tc>
      </w:tr>
    </w:tbl>
    <w:p>
      <w:pPr>
        <w:pStyle w:val="a7"/>
      </w:pPr>
      <w:r>
        <w:t>LDAP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ldap_host</w:t>
            </w:r>
          </w:p>
        </w:tc>
        <w:tc>
          <w:p>
            <w:pPr>
              <w:spacing w:before="0" w:after="0"/>
            </w:pPr>
            <w:r>
              <w:t>LDAP server host</w:t>
            </w:r>
          </w:p>
        </w:tc>
      </w:tr>
      <w:tr>
        <w:tc>
          <w:p>
            <w:pPr>
              <w:spacing w:before="0" w:after="0"/>
            </w:pPr>
            <w:r>
              <w:t>ldap_port</w:t>
            </w:r>
          </w:p>
        </w:tc>
        <w:tc>
          <w:p>
            <w:pPr>
              <w:spacing w:before="0" w:after="0"/>
            </w:pPr>
            <w:r>
              <w:t>LDAP server port</w:t>
            </w:r>
          </w:p>
        </w:tc>
      </w:tr>
      <w:tr>
        <w:tc>
          <w:p>
            <w:pPr>
              <w:spacing w:before="0" w:after="0"/>
            </w:pPr>
            <w:r>
              <w:t>ldap_user_prefix</w:t>
            </w:r>
          </w:p>
        </w:tc>
        <w:tc>
          <w:p>
            <w:pPr>
              <w:spacing w:before="0" w:after="0"/>
            </w:pPr>
            <w:r>
              <w:t>User DN prefix</w:t>
            </w:r>
          </w:p>
        </w:tc>
      </w:tr>
      <w:tr>
        <w:tc>
          <w:p>
            <w:pPr>
              <w:spacing w:before="0" w:after="0"/>
            </w:pPr>
            <w:r>
              <w:t>ldap_user_suffix</w:t>
            </w:r>
          </w:p>
        </w:tc>
        <w:tc>
          <w:p>
            <w:pPr>
              <w:spacing w:before="0" w:after="0"/>
            </w:pPr>
            <w:r>
              <w:t>User DN suffix</w:t>
            </w:r>
          </w:p>
        </w:tc>
      </w:tr>
      <w:tr>
        <w:tc>
          <w:p>
            <w:pPr>
              <w:spacing w:before="0" w:after="0"/>
            </w:pPr>
            <w:r>
              <w:t>ldap_timeout</w:t>
            </w:r>
          </w:p>
        </w:tc>
        <w:tc>
          <w:p>
            <w:pPr>
              <w:spacing w:before="0" w:after="0"/>
            </w:pPr>
            <w:r>
              <w:t>LDAP connection timeout (ms)</w:t>
            </w:r>
          </w:p>
        </w:tc>
      </w:tr>
      <w:tr>
        <w:tc>
          <w:p>
            <w:pPr>
              <w:spacing w:before="0" w:after="0"/>
            </w:pPr>
            <w:r>
              <w:t>ldap_user_base_dn</w:t>
            </w:r>
          </w:p>
        </w:tc>
        <w:tc>
          <w:p>
            <w:pPr>
              <w:spacing w:before="0" w:after="0"/>
            </w:pPr>
            <w:r>
              <w:t>User search base DN</w:t>
            </w:r>
          </w:p>
        </w:tc>
      </w:tr>
      <w:tr>
        <w:tc>
          <w:p>
            <w:pPr>
              <w:spacing w:before="0" w:after="0"/>
            </w:pPr>
            <w:r>
              <w:t>ldap_bind_dn</w:t>
            </w:r>
          </w:p>
        </w:tc>
        <w:tc>
          <w:p>
            <w:pPr>
              <w:spacing w:before="0" w:after="0"/>
            </w:pPr>
            <w:r>
              <w:t>Bind DN</w:t>
            </w:r>
          </w:p>
        </w:tc>
      </w:tr>
      <w:tr>
        <w:tc>
          <w:p>
            <w:pPr>
              <w:spacing w:before="0" w:after="0"/>
            </w:pPr>
            <w:r>
              <w:t>ldap_bind_password</w:t>
            </w:r>
          </w:p>
        </w:tc>
        <w:tc>
          <w:p>
            <w:pPr>
              <w:spacing w:before="0" w:after="0"/>
            </w:pPr>
            <w:r>
              <w:t>Bind password (masked in response)</w:t>
            </w:r>
          </w:p>
        </w:tc>
      </w:tr>
      <w:tr>
        <w:tc>
          <w:p>
            <w:pPr>
              <w:spacing w:before="0" w:after="0"/>
            </w:pPr>
            <w:r>
              <w:t>ldap_user_search_filter</w:t>
            </w:r>
          </w:p>
        </w:tc>
        <w:tc>
          <w:p>
            <w:pPr>
              <w:spacing w:before="0" w:after="0"/>
            </w:pPr>
            <w:r>
              <w:t>User search filter</w:t>
            </w:r>
          </w:p>
        </w:tc>
      </w:tr>
      <w:tr>
        <w:tc>
          <w:p>
            <w:pPr>
              <w:spacing w:before="0" w:after="0"/>
            </w:pPr>
            <w:r>
              <w:t>external_auth_fail_policy</w:t>
            </w:r>
          </w:p>
        </w:tc>
        <w:tc>
          <w:p>
            <w:pPr>
              <w:spacing w:before="0" w:after="0"/>
            </w:pPr>
            <w:r>
              <w:t>Policy on external authentication failure</w:t>
            </w:r>
          </w:p>
        </w:tc>
      </w:tr>
    </w:tbl>
    <w:p>
      <w:pPr>
        <w:pStyle w:val="a7"/>
      </w:pPr>
      <w:r>
        <w:t>SMTP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smtp_host</w:t>
            </w:r>
          </w:p>
        </w:tc>
        <w:tc>
          <w:p>
            <w:pPr>
              <w:spacing w:before="0" w:after="0"/>
            </w:pPr>
            <w:r>
              <w:t>SMTP server host</w:t>
            </w:r>
          </w:p>
        </w:tc>
      </w:tr>
      <w:tr>
        <w:tc>
          <w:p>
            <w:pPr>
              <w:spacing w:before="0" w:after="0"/>
            </w:pPr>
            <w:r>
              <w:t>smtp_port</w:t>
            </w:r>
          </w:p>
        </w:tc>
        <w:tc>
          <w:p>
            <w:pPr>
              <w:spacing w:before="0" w:after="0"/>
            </w:pPr>
            <w:r>
              <w:t>SMTP server port</w:t>
            </w:r>
          </w:p>
        </w:tc>
      </w:tr>
      <w:tr>
        <w:tc>
          <w:p>
            <w:pPr>
              <w:spacing w:before="0" w:after="0"/>
            </w:pPr>
            <w:r>
              <w:t>smtp_protocol</w:t>
            </w:r>
          </w:p>
        </w:tc>
        <w:tc>
          <w:p>
            <w:pPr>
              <w:spacing w:before="0" w:after="0"/>
            </w:pPr>
            <w:r>
              <w:t>SMTP protocol</w:t>
            </w:r>
          </w:p>
        </w:tc>
      </w:tr>
      <w:tr>
        <w:tc>
          <w:p>
            <w:pPr>
              <w:spacing w:before="0" w:after="0"/>
            </w:pPr>
            <w:r>
              <w:t>smtp_user</w:t>
            </w:r>
          </w:p>
        </w:tc>
        <w:tc>
          <w:p>
            <w:pPr>
              <w:spacing w:before="0" w:after="0"/>
            </w:pPr>
            <w:r>
              <w:t>SMTP user account</w:t>
            </w:r>
          </w:p>
        </w:tc>
      </w:tr>
      <w:tr>
        <w:tc>
          <w:p>
            <w:pPr>
              <w:spacing w:before="0" w:after="0"/>
            </w:pPr>
            <w:r>
              <w:t>smtp_pass</w:t>
            </w:r>
          </w:p>
        </w:tc>
        <w:tc>
          <w:p>
            <w:pPr>
              <w:spacing w:before="0" w:after="0"/>
            </w:pPr>
            <w:r>
              <w:t>SMTP password (masked in response)</w:t>
            </w:r>
          </w:p>
        </w:tc>
      </w:tr>
      <w:tr>
        <w:tc>
          <w:p>
            <w:pPr>
              <w:spacing w:before="0" w:after="0"/>
            </w:pPr>
            <w:r>
              <w:t>smtp_from</w:t>
            </w:r>
          </w:p>
        </w:tc>
        <w:tc>
          <w:p>
            <w:pPr>
              <w:spacing w:before="0" w:after="0"/>
            </w:pPr>
            <w:r>
              <w:t>Sender mail address</w:t>
            </w:r>
          </w:p>
        </w:tc>
      </w:tr>
      <w:tr>
        <w:tc>
          <w:p>
            <w:pPr>
              <w:spacing w:before="0" w:after="0"/>
            </w:pPr>
            <w:r>
              <w:t>smtp_proxy</w:t>
            </w:r>
          </w:p>
        </w:tc>
        <w:tc>
          <w:p>
            <w:pPr>
              <w:spacing w:before="0" w:after="0"/>
            </w:pPr>
            <w:r>
              <w:t>SMTP proxy configuration</w:t>
            </w:r>
          </w:p>
        </w:tc>
      </w:tr>
    </w:tbl>
    <w:p>
      <w:pPr>
        <w:pStyle w:val="a7"/>
      </w:pPr>
      <w:r>
        <w:t>ISAC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isac_url</w:t>
            </w:r>
          </w:p>
        </w:tc>
        <w:tc>
          <w:p>
            <w:pPr>
              <w:spacing w:before="0" w:after="0"/>
            </w:pPr>
            <w:r>
              <w:t>ISAC service URL</w:t>
            </w:r>
          </w:p>
        </w:tc>
      </w:tr>
      <w:tr>
        <w:tc>
          <w:p>
            <w:pPr>
              <w:spacing w:before="0" w:after="0"/>
            </w:pPr>
            <w:r>
              <w:t>isac_api_key</w:t>
            </w:r>
          </w:p>
        </w:tc>
        <w:tc>
          <w:p>
            <w:pPr>
              <w:spacing w:before="0" w:after="0"/>
            </w:pPr>
            <w:r>
              <w:t>ISAC API key</w:t>
            </w:r>
          </w:p>
        </w:tc>
      </w:tr>
    </w:tbl>
    <w:p>
      <w:pPr>
        <w:pStyle w:val="a7"/>
      </w:pPr>
      <w:r>
        <w:t>Explanation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explanation_period</w:t>
            </w:r>
          </w:p>
        </w:tc>
        <w:tc>
          <w:p>
            <w:pPr>
              <w:spacing w:before="0" w:after="0"/>
            </w:pPr>
            <w:r>
              <w:t>Explanation retention period</w:t>
            </w:r>
          </w:p>
        </w:tc>
      </w:tr>
      <w:tr>
        <w:tc>
          <w:p>
            <w:pPr>
              <w:spacing w:before="0" w:after="0"/>
            </w:pPr>
            <w:r>
              <w:t>explanation_token_expiry</w:t>
            </w:r>
          </w:p>
        </w:tc>
        <w:tc>
          <w:p>
            <w:pPr>
              <w:spacing w:before="0" w:after="0"/>
            </w:pPr>
            <w:r>
              <w:t>Explanation token expiry</w:t>
            </w:r>
          </w:p>
        </w:tc>
      </w:tr>
      <w:tr>
        <w:tc>
          <w:p>
            <w:pPr>
              <w:spacing w:before="0" w:after="0"/>
            </w:pPr>
            <w:r>
              <w:t>explanation_req_mail_cc</w:t>
            </w:r>
          </w:p>
        </w:tc>
        <w:tc>
          <w:p>
            <w:pPr>
              <w:spacing w:before="0" w:after="0"/>
            </w:pPr>
            <w:r>
              <w:t>CC recipients on explanation request mail</w:t>
            </w:r>
          </w:p>
        </w:tc>
      </w:tr>
      <w:tr>
        <w:tc>
          <w:p>
            <w:pPr>
              <w:spacing w:before="0" w:after="0"/>
            </w:pPr>
            <w:r>
              <w:t>explanation_req_remind</w:t>
            </w:r>
          </w:p>
        </w:tc>
        <w:tc>
          <w:p>
            <w:pPr>
              <w:spacing w:before="0" w:after="0"/>
            </w:pPr>
            <w:r>
              <w:t>Explanation request reminder interval</w:t>
            </w:r>
          </w:p>
        </w:tc>
      </w:tr>
      <w:tr>
        <w:tc>
          <w:p>
            <w:pPr>
              <w:spacing w:before="0" w:after="0"/>
            </w:pPr>
            <w:r>
              <w:t>explanation_url_alias</w:t>
            </w:r>
          </w:p>
        </w:tc>
        <w:tc>
          <w:p>
            <w:pPr>
              <w:spacing w:before="0" w:after="0"/>
            </w:pPr>
            <w:r>
              <w:t>Explanation URL alias</w:t>
            </w:r>
          </w:p>
        </w:tc>
      </w:tr>
      <w:tr>
        <w:tc>
          <w:p>
            <w:pPr>
              <w:spacing w:before="0" w:after="0"/>
            </w:pPr>
            <w:r>
              <w:t>explanation_submit_expiry</w:t>
            </w:r>
          </w:p>
        </w:tc>
        <w:tc>
          <w:p>
            <w:pPr>
              <w:spacing w:before="0" w:after="0"/>
            </w:pPr>
            <w:r>
              <w:t>Explanation submission deadline</w:t>
            </w:r>
          </w:p>
        </w:tc>
      </w:tr>
      <w:tr>
        <w:tc>
          <w:p>
            <w:pPr>
              <w:spacing w:before="0" w:after="0"/>
            </w:pPr>
            <w:r>
              <w:t>explanation_requester_name</w:t>
            </w:r>
          </w:p>
        </w:tc>
        <w:tc>
          <w:p>
            <w:pPr>
              <w:spacing w:before="0" w:after="0"/>
            </w:pPr>
            <w:r>
              <w:t>Display name of the explanation requester</w:t>
            </w:r>
          </w:p>
        </w:tc>
      </w:tr>
      <w:tr>
        <w:tc>
          <w:p>
            <w:pPr>
              <w:spacing w:before="0" w:after="0"/>
            </w:pPr>
            <w:r>
              <w:t>max_explanation_log_count</w:t>
            </w:r>
          </w:p>
        </w:tc>
        <w:tc>
          <w:p>
            <w:pPr>
              <w:spacing w:before="0" w:after="0"/>
            </w:pPr>
            <w:r>
              <w:t>Maximum number of evidence logs</w:t>
            </w:r>
          </w:p>
        </w:tc>
      </w:tr>
      <w:tr>
        <w:tc>
          <w:p>
            <w:pPr>
              <w:spacing w:before="0" w:after="0"/>
            </w:pPr>
            <w:r>
              <w:t>self_explanation</w:t>
            </w:r>
          </w:p>
        </w:tc>
        <w:tc>
          <w:p>
            <w:pPr>
              <w:spacing w:before="0" w:after="0"/>
            </w:pPr>
            <w:r>
              <w:t>Whether self-explanation is allowed</w:t>
            </w:r>
          </w:p>
        </w:tc>
      </w:tr>
    </w:tbl>
    <w:p>
      <w:pPr>
        <w:pStyle w:val="a7"/>
      </w:pPr>
      <w:r>
        <w:t>Asset IP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ip_custom_fields</w:t>
            </w:r>
          </w:p>
        </w:tc>
        <w:tc>
          <w:p>
            <w:pPr>
              <w:spacing w:before="0" w:after="0"/>
            </w:pPr>
            <w:r>
              <w:t>Asset IP custom fields</w:t>
            </w:r>
          </w:p>
        </w:tc>
      </w:tr>
      <w:tr>
        <w:tc>
          <w:p>
            <w:pPr>
              <w:spacing w:before="0" w:after="0"/>
            </w:pPr>
            <w:r>
              <w:t>ip_search_popup</w:t>
            </w:r>
          </w:p>
        </w:tc>
        <w:tc>
          <w:p>
            <w:pPr>
              <w:spacing w:before="0" w:after="0"/>
            </w:pPr>
            <w:r>
              <w:t>Whether the asset IP search popup is enabled</w:t>
            </w:r>
          </w:p>
        </w:tc>
      </w:tr>
    </w:tbl>
    <w:p>
      <w:pPr>
        <w:pStyle w:val="a7"/>
      </w:pPr>
      <w:r>
        <w:t>Lifecycle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lifecycle_rollover_schedule</w:t>
            </w:r>
          </w:p>
        </w:tc>
        <w:tc>
          <w:p>
            <w:pPr>
              <w:spacing w:before="0" w:after="0"/>
            </w:pPr>
            <w:r>
              <w:t>Lifecycle rollover schedule</w:t>
            </w:r>
          </w:p>
        </w:tc>
      </w:tr>
      <w:tr>
        <w:tc>
          <w:p>
            <w:pPr>
              <w:spacing w:before="0" w:after="0"/>
            </w:pPr>
            <w:r>
              <w:t>lifecycle_throttle_step</w:t>
            </w:r>
          </w:p>
        </w:tc>
        <w:tc>
          <w:p>
            <w:pPr>
              <w:spacing w:before="0" w:after="0"/>
            </w:pPr>
            <w:r>
              <w:t>Lifecycle processing step</w:t>
            </w:r>
          </w:p>
        </w:tc>
      </w:tr>
    </w:tbl>
    <w:p>
      <w:pPr>
        <w:pStyle w:val="a7"/>
      </w:pPr>
      <w:r>
        <w:t>Object Storage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objectstorage_s3sdk_connection_timeout</w:t>
            </w:r>
          </w:p>
        </w:tc>
        <w:tc>
          <w:p>
            <w:pPr>
              <w:spacing w:before="0" w:after="0"/>
            </w:pPr>
            <w:r>
              <w:t>S3 SDK connection timeout (ms)</w:t>
            </w:r>
          </w:p>
        </w:tc>
      </w:tr>
      <w:tr>
        <w:tc>
          <w:p>
            <w:pPr>
              <w:spacing w:before="0" w:after="0"/>
            </w:pPr>
            <w:r>
              <w:t>objectstorage_s3sdk_minimum_throughput_timeout</w:t>
            </w:r>
          </w:p>
        </w:tc>
        <w:tc>
          <w:p>
            <w:pPr>
              <w:spacing w:before="0" w:after="0"/>
            </w:pPr>
            <w:r>
              <w:t>S3 SDK minimum throughput timeout (ms)</w:t>
            </w:r>
          </w:p>
        </w:tc>
      </w:tr>
      <w:tr>
        <w:tc>
          <w:p>
            <w:pPr>
              <w:spacing w:before="0" w:after="0"/>
            </w:pPr>
            <w:r>
              <w:t>objectstorage_s3sdk_target_throughput_in_gbps</w:t>
            </w:r>
          </w:p>
        </w:tc>
        <w:tc>
          <w:p>
            <w:pPr>
              <w:spacing w:before="0" w:after="0"/>
            </w:pPr>
            <w:r>
              <w:t>S3 SDK target throughput (Gbps)</w:t>
            </w:r>
          </w:p>
        </w:tc>
      </w:tr>
      <w:tr>
        <w:tc>
          <w:p>
            <w:pPr>
              <w:spacing w:before="0" w:after="0"/>
            </w:pPr>
            <w:r>
              <w:t>objectstorage_input_stream_buffer_size_in_bytes</w:t>
            </w:r>
          </w:p>
        </w:tc>
        <w:tc>
          <w:p>
            <w:pPr>
              <w:spacing w:before="0" w:after="0"/>
            </w:pPr>
            <w:r>
              <w:t>Input stream buffer size (bytes)</w:t>
            </w:r>
          </w:p>
        </w:tc>
      </w:tr>
    </w:tbl>
    <w:p>
      <w:pPr>
        <w:pStyle w:val="a7"/>
      </w:pPr>
      <w:r>
        <w:t>MITRE ATT&amp;CK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mitre_dashboard_highlight_time</w:t>
            </w:r>
          </w:p>
        </w:tc>
        <w:tc>
          <w:p>
            <w:pPr>
              <w:spacing w:before="0" w:after="0"/>
            </w:pPr>
            <w:r>
              <w:t>MITRE dashboard highlight duration (ms)</w:t>
            </w:r>
          </w:p>
        </w:tc>
      </w:tr>
    </w:tbl>
    <w:p>
      <w:pPr>
        <w:pStyle w:val="a7"/>
      </w:pPr>
      <w:r>
        <w:t>Other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use_auditor_token</w:t>
            </w:r>
          </w:p>
        </w:tc>
        <w:tc>
          <w:p>
            <w:pPr>
              <w:spacing w:before="0" w:after="0"/>
            </w:pPr>
            <w:r>
              <w:t>Whether the auditor token is used</w:t>
            </w:r>
          </w:p>
        </w:tc>
      </w:tr>
      <w:tr>
        <w:tc>
          <w:p>
            <w:pPr>
              <w:spacing w:before="0" w:after="0"/>
            </w:pPr>
            <w:r>
              <w:t>use_ncsc_threatcon</w:t>
            </w:r>
          </w:p>
        </w:tc>
        <w:tc>
          <w:p>
            <w:pPr>
              <w:spacing w:before="0" w:after="0"/>
            </w:pPr>
            <w:r>
              <w:t>Whether the cyber crisis alert level is used</w:t>
            </w:r>
          </w:p>
        </w:tc>
      </w:tr>
      <w:tr>
        <w:tc>
          <w:p>
            <w:pPr>
              <w:spacing w:before="0" w:after="0"/>
            </w:pPr>
            <w:r>
              <w:t>ai_assistant_plain</w:t>
            </w:r>
          </w:p>
        </w:tc>
        <w:tc>
          <w:p>
            <w:pPr>
              <w:spacing w:before="0" w:after="0"/>
            </w:pPr>
            <w:r>
              <w:t>Whether AI assistant runs in plain mode</w:t>
            </w:r>
          </w:p>
        </w:tc>
      </w:tr>
      <w:tr>
        <w:tc>
          <w:p>
            <w:pPr>
              <w:spacing w:before="0" w:after="0"/>
            </w:pPr>
            <w:r>
              <w:t>time_picker_default_hour</w:t>
            </w:r>
          </w:p>
        </w:tc>
        <w:tc>
          <w:p>
            <w:pPr>
              <w:spacing w:before="0" w:after="0"/>
            </w:pPr>
            <w:r>
              <w:t>Default hour for the time picker</w:t>
            </w:r>
          </w:p>
        </w:tc>
      </w:tr>
      <w:tr>
        <w:tc>
          <w:p>
            <w:pPr>
              <w:spacing w:before="0" w:after="0"/>
            </w:pPr>
            <w:r>
              <w:t>confirm_ticket_approve_status_change</w:t>
            </w:r>
          </w:p>
        </w:tc>
        <w:tc>
          <w:p>
            <w:pPr>
              <w:spacing w:before="0" w:after="0"/>
            </w:pPr>
            <w:r>
              <w:t>Whether to confirm status change on ticket approval</w:t>
            </w:r>
          </w:p>
        </w:tc>
      </w:tr>
      <w:tr>
        <w:tc>
          <w:p>
            <w:pPr>
              <w:spacing w:before="0" w:after="0"/>
            </w:pPr>
            <w:r>
              <w:t>table_usage_reload_interval</w:t>
            </w:r>
          </w:p>
        </w:tc>
        <w:tc>
          <w:p>
            <w:pPr>
              <w:spacing w:before="0" w:after="0"/>
            </w:pPr>
            <w:r>
              <w:t>Table usage reload interval</w:t>
            </w:r>
          </w:p>
        </w:tc>
      </w:tr>
      <w:tr>
        <w:tc>
          <w:p>
            <w:pPr>
              <w:spacing w:before="0" w:after="0"/>
            </w:pPr>
            <w:r>
              <w:t>behavior_profile_sync_max_jitter</w:t>
            </w:r>
          </w:p>
        </w:tc>
        <w:tc>
          <w:p>
            <w:pPr>
              <w:spacing w:before="0" w:after="0"/>
            </w:pPr>
            <w:r>
              <w:t>Maximum jitter for behavior profile sync</w:t>
            </w:r>
          </w:p>
        </w:tc>
      </w:tr>
      <w:tr>
        <w:tc>
          <w:p>
            <w:pPr>
              <w:spacing w:before="0" w:after="0"/>
            </w:pPr>
            <w:r>
              <w:t>etir_ticket_score_threshold</w:t>
            </w:r>
          </w:p>
        </w:tc>
        <w:tc>
          <w:p>
            <w:pPr>
              <w:spacing w:before="0" w:after="0"/>
            </w:pPr>
            <w:r>
              <w:t>E-TIR ticket score threshold</w:t>
            </w:r>
          </w:p>
        </w:tc>
      </w:tr>
      <w:tr>
        <w:tc>
          <w:p>
            <w:pPr>
              <w:spacing w:before="0" w:after="0"/>
            </w:pPr>
            <w:r>
              <w:t>sso_hosts</w:t>
            </w:r>
          </w:p>
        </w:tc>
        <w:tc>
          <w:p>
            <w:pPr>
              <w:spacing w:before="0" w:after="0"/>
            </w:pPr>
            <w:r>
              <w:t>List of allowed SSO hosts</w:t>
            </w:r>
          </w:p>
        </w:tc>
      </w:tr>
      <w:tr>
        <w:tc>
          <w:p>
            <w:pPr>
              <w:spacing w:before="0" w:after="0"/>
            </w:pPr>
            <w:r>
              <w:t>disk_usage_ignore_partitions</w:t>
            </w:r>
          </w:p>
        </w:tc>
        <w:tc>
          <w:p>
            <w:pPr>
              <w:spacing w:before="0" w:after="0"/>
            </w:pPr>
            <w:r>
              <w:t>Partitions to exclude from disk usage calculation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