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Delete Asset IP Vulnerabilities</w:t>
      </w:r>
    </w:p>
    <w:p>
      <w:r>
        <w:t>Deletes specified asset IP vulnerabilities in bulk.</w:t>
      </w:r>
    </w:p>
    <w:p>
      <w:pPr>
        <w:pStyle w:val="4"/>
      </w:pPr>
      <w:r>
        <w:t>Required Permissions</w:t>
      </w:r>
    </w:p>
    <w:p>
      <w:r>
        <w:t>Available to users with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/api/sonar/ip-address-vulnerabilities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"https://HOSTNAME/api/sonar/ip-address-vulnerabilities?guids=9c4e2f3a-1b2d-4c5e-9f8a-3d2c1b4a5e6f,a1b2c3d4-e5f6-7890-1234-567890abcdef"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Asset IP vulnerability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Asset IP vulnerability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"9c4e2f3a-1b2d-4c5e-9f8a-3d2c1b4a5e6f",</w:t>
        <w:cr/>
      </w:r>
      <w:r>
        <w:t xml:space="preserve">      "reason": "ip-address-vulnerability-not-found"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"invalid-guid",</w:t>
        <w:cr/>
      </w:r>
      <w:r>
        <w:t xml:space="preserve">  "error_msg": "invalid guid: XYZ"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