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User-defined Filters</w:t>
      </w:r>
    </w:p>
    <w:p>
      <w:r>
        <w:t>Deletes the specified user-defined filters.</w:t>
      </w:r>
    </w:p>
    <w:p>
      <w:pPr>
        <w:pStyle w:val="4"/>
      </w:pPr>
      <w:r>
        <w:t>Required Permissions</w:t>
      </w:r>
    </w:p>
    <w:p>
      <w:r>
        <w:t>Available to users with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Target GUIDs</w:t>
            </w:r>
          </w:p>
        </w:tc>
        <w:tc>
          <w:p>
            <w:pPr>
              <w:spacing w:before="0" w:after="0"/>
            </w:pPr>
            <w:r>
              <w:t>Comma-separated GUIDs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r>
        <w:t xml:space="preserve">The response body is empty on success. The endpoint returns HTTP 200 even when some GUIDs do not exist or fail to delete; no per-item failure list is included in the response. Removal results are recorded in the audit log under the </w:t>
      </w:r>
      <w:r>
        <w:rPr>
          <w:rStyle w:val="af4"/>
        </w:rPr>
        <w:t>names</w:t>
      </w:r>
      <w:r>
        <w:t xml:space="preserve"> field.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