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Table Retention</w:t>
      </w:r>
    </w:p>
    <w:p>
      <w:r>
        <w:t>Sets the retention period for a specific table.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/api/sonar/tables/:table/retention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"https://HOSTNAME/api/sonar/tables/demo/retention?period=180"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Retention period (days)</w:t>
            </w:r>
          </w:p>
        </w:tc>
        <w:tc>
          <w:p>
            <w:pPr>
              <w:spacing w:before="0" w:after="0"/>
            </w:pPr>
            <w:r>
              <w:t>Minimum: 0 (unlimited), Maximum: 36500</w:t>
            </w:r>
          </w:p>
        </w:tc>
      </w:tr>
    </w:tbl>
    <w:p>
      <w:pPr>
        <w:pStyle w:val="af1"/>
      </w:pPr>
      <w:r>
        <w:t>Table names must start with a letter and may contain alphanumeric characters, underscores, and hyphens.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table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table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parameter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name violates naming rules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period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"period should be not null"</w:t>
        <w:cr/>
      </w:r>
      <w:r>
        <w:t>}</w:t>
      </w:r>
    </w:p>
    <w:p>
      <w:pPr>
        <w:pStyle w:val="a7"/>
      </w:pPr>
      <w:r>
        <w:t>period value is out of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"'period' must be less than or equal to 36500."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