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Identity Provider</w:t>
      </w:r>
    </w:p>
    <w:p>
      <w:r>
        <w:t>Updates the description and configuration values of a registered Identity provider. When the provider is currently enabled, required-option validation is performed before the update is committed.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/api/sonar/sso-providers/:code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"description": "Corporate SAML IdP integration (updated)",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"new-secret-value"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Identity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User-supplied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Provider option values</w:t>
            </w:r>
          </w:p>
        </w:tc>
        <w:tc>
          <w:p>
            <w:pPr>
              <w:spacing w:before="0" w:after="0"/>
            </w:pPr>
            <w:r>
              <w:t xml:space="preserve">Key-value map. Use </w:t>
            </w:r>
            <w:r>
              <w:rPr>
                <w:rStyle w:val="af4"/>
              </w:rPr>
              <w:t>getConfigOptions</w:t>
            </w:r>
            <w:r>
              <w:t xml:space="preserve"> to discover the option keys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 or configs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No registered configuration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"Identity provider config not found: saml"</w:t>
        <w:cr/>
      </w:r>
      <w:r>
        <w:t>}</w:t>
      </w:r>
    </w:p>
    <w:p>
      <w:pPr>
        <w:pStyle w:val="a7"/>
      </w:pPr>
      <w:r>
        <w:t>Required option missing while the provider is enabled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