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Ticket Explanation Request</w:t>
      </w:r>
    </w:p>
    <w:p>
      <w:r>
        <w:t>To request an explanation from the violator regarding the ticket content, click the explanation request button. Set the target (violator), reviewer, importance, category, and other parameters to initiate the request. An explanation request can only be made if there is supporting documentation in the ticket.</w:t>
      </w:r>
    </w:p>
    <w:p>
      <w:r>
        <w:t xml:space="preserve">For detailed instructions on how to create an explanation request, please refer to the </w:t>
      </w:r>
      <w:hyperlink r:id="rId10">
        <w:r>
          <w:rPr>
            <w:rStyle w:val="a6"/>
          </w:rPr>
          <w:t>Explanations</w:t>
        </w:r>
      </w:hyperlink>
      <w:r>
        <w:t xml:space="preserve"> section.</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