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4"/>
      </w:pPr>
      <w:r>
        <w:t>Create Explanation Request</w:t>
      </w:r>
    </w:p>
    <w:p>
      <w:r>
        <w:t xml:space="preserve">Explanation requests can be generated automatically by stream or batch detection, or manually added from the </w:t>
      </w:r>
      <w:r>
        <w:rPr>
          <w:b w:val="on"/>
        </w:rPr>
        <w:t>Ticket</w:t>
      </w:r>
      <w:r>
        <w:t xml:space="preserve"> screen or the </w:t>
      </w:r>
      <w:r>
        <w:rPr>
          <w:b w:val="on"/>
        </w:rPr>
        <w:t>Explanations</w:t>
      </w:r>
      <w:r>
        <w:t xml:space="preserve"> screen using the </w:t>
      </w:r>
      <w:r>
        <w:rPr>
          <w:b w:val="on"/>
        </w:rPr>
        <w:t>Add</w:t>
      </w:r>
      <w:r>
        <w:t xml:space="preserve"> button. This section explains how to add explanation requests from both the </w:t>
      </w:r>
      <w:r>
        <w:rPr>
          <w:b w:val="on"/>
        </w:rPr>
        <w:t>Tickets</w:t>
      </w:r>
      <w:r>
        <w:t xml:space="preserve"> and </w:t>
      </w:r>
      <w:r>
        <w:rPr>
          <w:b w:val="on"/>
        </w:rPr>
        <w:t>Explanations</w:t>
      </w:r>
      <w:r>
        <w:t xml:space="preserve"> screens.</w:t>
      </w:r>
    </w:p>
    <w:p>
      <w:pPr>
        <w:pStyle w:val="a7"/>
      </w:pPr>
      <w:r>
        <w:t>Step 1:</w:t>
      </w:r>
    </w:p>
    <w:p>
      <w:pPr>
        <w:pStyle w:val="a7"/>
      </w:pPr>
      <w:r>
        <w:t>Violator</w:t>
      </w:r>
    </w:p>
    <w:p>
      <w:r>
        <w:t xml:space="preserve">First, assign the employee responsible for providing the explanation (Violator). When a violator is selected, the primary auditor is automatically set as the department head of the violator’s department. A secondary auditor can be assigned if needed. You can either manually enter the name in the input field or select the violator/reviewer from the organizational chart using the </w:t>
      </w:r>
      <w:r>
        <w:rPr>
          <w:rStyle w:val="af4"/>
        </w:rPr>
        <w:t>...</w:t>
      </w:r>
      <w:r>
        <w:t xml:space="preserve"> button.</w:t>
      </w:r>
    </w:p>
    <w:p>
      <w:pPr>
        <w:pStyle w:val="a7"/>
      </w:pPr>
      <w:r>
        <w:t>Primary Auditor</w:t>
      </w:r>
    </w:p>
    <w:p>
      <w:pPr>
        <w:numPr>
          <w:numId w:val="6"/>
        </w:numPr>
        <w:spacing w:before="0" w:after="0"/>
        <w:ind w:left="360" w:hanging="360"/>
      </w:pPr>
      <w:r>
        <w:t>By default, the department head of the violator’s department is assigned as the primary auditor.</w:t>
      </w:r>
    </w:p>
    <w:p>
      <w:pPr>
        <w:numPr>
          <w:numId w:val="6"/>
        </w:numPr>
        <w:spacing w:before="0" w:after="0"/>
        <w:ind w:left="360" w:hanging="360"/>
      </w:pPr>
      <w:r>
        <w:t>If the department has no head, the system assigns the department head of the next higher-level department.</w:t>
      </w:r>
    </w:p>
    <w:p>
      <w:pPr>
        <w:numPr>
          <w:numId w:val="6"/>
        </w:numPr>
        <w:spacing w:before="0" w:after="0"/>
        <w:ind w:left="360" w:hanging="360"/>
      </w:pPr>
      <w:r>
        <w:t>If no department heads exist even at the top level, a user with administrative privileges is designated as the primary auditor.</w:t>
      </w:r>
    </w:p>
    <w:p>
      <w:pPr>
        <w:pStyle w:val="a7"/>
      </w:pPr>
      <w:r>
        <w:t>When the violator is the department head</w:t>
      </w:r>
    </w:p>
    <w:p>
      <w:pPr>
        <w:numPr>
          <w:numId w:val="7"/>
        </w:numPr>
        <w:spacing w:before="0" w:after="0"/>
        <w:ind w:left="360" w:hanging="360"/>
      </w:pPr>
      <w:r>
        <w:t>If the violator is a department head and there is a department head in the next higher-level department, that individual is designated as the primary auditor.</w:t>
      </w:r>
    </w:p>
    <w:p>
      <w:pPr>
        <w:numPr>
          <w:numId w:val="7"/>
        </w:numPr>
        <w:spacing w:before="0" w:after="0"/>
        <w:ind w:left="360" w:hanging="360"/>
      </w:pPr>
      <w:r>
        <w:t>If no such head exists, or if the violator belongs to the top-level department, a user with administrative privileges is designated as the primary auditor.</w:t>
      </w:r>
    </w:p>
    <w:p>
      <w:r>
        <w:t>On the violator selection screen, filtering by the classification "Departing employee" will display only those employees with a confirmed departure date.</w:t>
      </w:r>
    </w:p>
    <w:p>
      <w:pPr>
        <w:pStyle w:val="a7"/>
      </w:pPr>
      <w:r>
        <w:t>Step 2: Explanation Category</w:t>
      </w:r>
    </w:p>
    <w:p>
      <w:r>
        <w:t xml:space="preserve">Select the explanation category and set its importance level. You can manage categories (add, delete, or edit) from the </w:t>
      </w:r>
      <w:r>
        <w:rPr>
          <w:b w:val="on"/>
        </w:rPr>
        <w:t>Categories</w:t>
      </w:r>
      <w:r>
        <w:t xml:space="preserve"> page.</w:t>
      </w:r>
    </w:p>
    <w:p>
      <w:pPr>
        <w:pStyle w:val="a7"/>
      </w:pPr>
      <w:r>
        <w:t>Step 3: Add Supporting Logs</w:t>
      </w:r>
    </w:p>
    <w:p>
      <w:r>
        <w:t>Search for supporting log data to serve as evidence. Retrieve logs indicating potential security violations by the subject from data collected by the Logpresso Sonar logger, and attach them to the explanation request.</w:t>
      </w:r>
    </w:p>
    <w:p>
      <w:pPr>
        <w:pStyle w:val="af1"/>
      </w:pPr>
      <w:r>
        <w:t>When querying supporting logs, only records related to the violator are displayed. This is because, during the search, only records where the emp_key field in the queried table matches the employee's number are returned. Therefore, when creating the logger, it is necessary to map the employee number to the collected data and store it in the table to use the collected data as evidence during the explanation request. For example, you can utilize a method to map the IP address or account name in the collected data to the employee number through a mapping table or lookup and store them together.</w:t>
      </w:r>
    </w:p>
    <w:p>
      <w:r>
        <w:rPr>
          <w:b w:val="on"/>
        </w:rPr>
        <w:t>Table</w:t>
      </w:r>
    </w:p>
    <w:p>
      <w:pPr>
        <w:ind w:left="400"/>
      </w:pPr>
      <w:r>
        <w:t>Select the table containing the supporting log data.</w:t>
      </w:r>
    </w:p>
    <w:p>
      <w:r>
        <w:rPr>
          <w:b w:val="on"/>
        </w:rPr>
        <w:t>Schema</w:t>
      </w:r>
    </w:p>
    <w:p>
      <w:pPr>
        <w:ind w:left="400"/>
      </w:pPr>
      <w:r>
        <w:t>Choose the schema associated with the logger that collected the data. The query and its results will be based on this schema.</w:t>
      </w:r>
    </w:p>
    <w:p>
      <w:r>
        <w:rPr>
          <w:b w:val="on"/>
        </w:rPr>
        <w:t>From/To</w:t>
      </w:r>
    </w:p>
    <w:p>
      <w:pPr>
        <w:ind w:left="400"/>
      </w:pPr>
      <w:r>
        <w:t>Specify the date range for querying logs. Only data collected within this range will be retrieved.</w:t>
      </w:r>
    </w:p>
    <w:p>
      <w:r>
        <w:rPr>
          <w:b w:val="on"/>
        </w:rPr>
        <w:t>Keyword/Query</w:t>
      </w:r>
    </w:p>
    <w:p>
      <w:pPr>
        <w:ind w:left="400"/>
      </w:pPr>
      <w:r>
        <w:t>Enter keywords to search within the log contents. Use AND to return results containing all keywords, or OR for results containing any keyword. If you select the query expression condition, you can directly input a full-text search boolean expression query.</w:t>
      </w:r>
    </w:p>
    <w:p>
      <w:r>
        <w:rPr>
          <w:b w:val="on"/>
        </w:rPr>
        <w:t>Maximum Count</w:t>
      </w:r>
    </w:p>
    <w:p>
      <w:pPr>
        <w:ind w:left="400"/>
      </w:pPr>
      <w:r>
        <w:t>Set the maximum number of log entries to retrieve.</w:t>
      </w:r>
    </w:p>
    <w:p>
      <w:r>
        <w:rPr>
          <w:b w:val="on"/>
        </w:rPr>
        <w:t>Display Unit</w:t>
      </w:r>
    </w:p>
    <w:p>
      <w:pPr>
        <w:ind w:left="400"/>
      </w:pPr>
      <w:r>
        <w:t>Set the number of entries to display per page on the screen.</w:t>
      </w:r>
    </w:p>
    <w:p>
      <w:r>
        <w:t xml:space="preserve">Click the </w:t>
      </w:r>
      <w:r>
        <w:rPr>
          <w:rStyle w:val="af4"/>
        </w:rPr>
        <w:t>Add Selected Logs</w:t>
      </w:r>
      <w:r>
        <w:t xml:space="preserve"> button to attach the selected log entries to the explanation request.</w:t>
      </w:r>
    </w:p>
    <w:p>
      <w:pPr>
        <w:pStyle w:val="af1"/>
      </w:pPr>
      <w:r>
        <w:t>When requesting an explanation from the Ticket screen, the supporting logs linked to that ticket are automatically added to the request.</w:t>
      </w:r>
    </w:p>
    <w:p>
      <w:pPr>
        <w:pStyle w:val="a7"/>
      </w:pPr>
      <w:r>
        <w:t>Step 4: Send Explanation Request</w:t>
      </w:r>
    </w:p>
    <w:p>
      <w:r>
        <w:t xml:space="preserve">Once all required information is entered, click the </w:t>
      </w:r>
      <w:r>
        <w:rPr>
          <w:rStyle w:val="af4"/>
        </w:rPr>
        <w:t>OK</w:t>
      </w:r>
      <w:r>
        <w:t xml:space="preserve"> button in the top-right corner of the screen to finalize and send the explanation request.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