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Explanation Review</w:t>
      </w:r>
    </w:p>
    <w:p>
      <w:r>
        <w:t>When the individual under review submits their explanation, a review request email is sent to the auditor. The auditor clicks the link in the email to access the details of the explanation review request and proceeds with the review process based on this information.</w:t>
      </w:r>
    </w:p>
    <w:p>
      <w:r>
        <w:t xml:space="preserve">The auditor examines the explanation details and related records, leaves comments, and then clicks the </w:t>
      </w:r>
      <w:r>
        <w:rPr>
          <w:rStyle w:val="af4"/>
        </w:rPr>
        <w:t>Reject</w:t>
      </w:r>
      <w:r>
        <w:t xml:space="preserve"> button to reject the explanation, the </w:t>
      </w:r>
      <w:r>
        <w:rPr>
          <w:rStyle w:val="af4"/>
        </w:rPr>
        <w:t>Approve (Normal)</w:t>
      </w:r>
      <w:r>
        <w:t xml:space="preserve"> button if the explanation is valid, or the </w:t>
      </w:r>
      <w:r>
        <w:rPr>
          <w:rStyle w:val="af4"/>
        </w:rPr>
        <w:t>Approve (Violation)</w:t>
      </w:r>
      <w:r>
        <w:t xml:space="preserve"> button if a violation is confirmed.</w:t>
      </w:r>
    </w:p>
    <w:p>
      <w:pPr>
        <w:pStyle w:val="ae"/>
      </w:pPr>
      <w:r>
        <w:t xml:space="preserve">The explanation review can only be conducted by employees of the organization. If a non-employee account attempts to access the review, the following permission violation message will be displayed.   </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