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Push Templates</w:t>
      </w:r>
    </w:p>
    <w:p>
      <w:pPr>
        <w:pStyle w:val="4"/>
      </w:pPr>
      <w:r>
        <w:t>Overview</w:t>
      </w:r>
    </w:p>
    <w:p>
      <w:r>
        <w:t xml:space="preserve">When an event detected by an stream or batch detection rule is related to an </w:t>
      </w:r>
      <w:hyperlink r:id="rId10">
        <w:r>
          <w:rPr>
            <w:rStyle w:val="a6"/>
          </w:rPr>
          <w:t>employees</w:t>
        </w:r>
      </w:hyperlink>
      <w:r>
        <w:t>, an .explanation requests are sent to the employee via email and SMS. Messages are also sent to reviewers (</w:t>
      </w:r>
      <w:hyperlink r:id="rId11">
        <w:r>
          <w:rPr>
            <w:rStyle w:val="a6"/>
          </w:rPr>
          <w:t>users</w:t>
        </w:r>
      </w:hyperlink>
      <w:r>
        <w:t>). The template for these email and SMS can be managed in this page.</w:t>
      </w:r>
    </w:p>
    <w:p>
      <w:r>
        <w:t>When an employee clicks on the hyperlink included in the email/SMS, they are directed to the explanation submission page defined in the push template, where they can write and submit their explanations. Explanation reviewers can also check and review the explanation content through the hyperlink included in the email/SMS.</w:t>
      </w:r>
    </w:p>
    <w:p>
      <w:r>
        <w:t>Templates can be created in three supported languages: Korean, English, and Chinese.</w:t>
      </w:r>
    </w:p>
    <w:p>
      <w:pPr>
        <w:pStyle w:val="a7"/>
      </w:pPr>
      <w:r>
        <w:t>Text Macros for Templates</w:t>
      </w:r>
    </w:p>
    <w:p>
      <w:r>
        <w:t>The template supports text macros that allow predefined content to be inserted into the email subject, body, or SMS body. Below are the macros available for use in the template.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Classification name</w:t>
            </w:r>
          </w:p>
        </w:tc>
      </w:tr>
      <w:tr>
        <w:tc>
          <w:p>
            <w:pPr>
              <w:spacing w:before="0" w:after="0"/>
            </w:pPr>
            <w:r>
              <w:t>$emp_key</w:t>
            </w:r>
          </w:p>
        </w:tc>
        <w:tc>
          <w:p>
            <w:pPr>
              <w:spacing w:before="0" w:after="0"/>
            </w:pPr>
            <w:r>
              <w:t>Employee ID of the employee who is required to submit an explanation</w:t>
            </w:r>
          </w:p>
        </w:tc>
      </w:tr>
      <w:tr>
        <w:tc>
          <w:p>
            <w:pPr>
              <w:spacing w:before="0" w:after="0"/>
            </w:pPr>
            <w:r>
              <w:t>$emp_name</w:t>
            </w:r>
          </w:p>
        </w:tc>
        <w:tc>
          <w:p>
            <w:pPr>
              <w:spacing w:before="0" w:after="0"/>
            </w:pPr>
            <w:r>
              <w:t>Name of the employee who is required to submit an explanation</w:t>
            </w:r>
          </w:p>
        </w:tc>
      </w:tr>
      <w:tr>
        <w:tc>
          <w:p>
            <w:pPr>
              <w:spacing w:before="0" w:after="0"/>
            </w:pPr>
            <w:r>
              <w:t>$emp_title</w:t>
            </w:r>
          </w:p>
        </w:tc>
        <w:tc>
          <w:p>
            <w:pPr>
              <w:spacing w:before="0" w:after="0"/>
            </w:pPr>
            <w:r>
              <w:t>Job title of the employee who is required to submit an explanation</w:t>
            </w:r>
          </w:p>
        </w:tc>
      </w:tr>
      <w:tr>
        <w:tc>
          <w:p>
            <w:pPr>
              <w:spacing w:before="0" w:after="0"/>
            </w:pPr>
            <w:r>
              <w:t>$url</w:t>
            </w:r>
          </w:p>
        </w:tc>
        <w:tc>
          <w:p>
            <w:pPr>
              <w:spacing w:before="0" w:after="0"/>
            </w:pPr>
            <w:r>
              <w:t>Unique address of the explanation page in URI format, including the web access address</w:t>
            </w:r>
          </w:p>
        </w:tc>
      </w:tr>
      <w:tr>
        <w:tc>
          <w:p>
            <w:pPr>
              <w:spacing w:before="0" w:after="0"/>
            </w:pPr>
            <w:r>
              <w:t>$expire_date</w:t>
            </w:r>
          </w:p>
        </w:tc>
        <w:tc>
          <w:p>
            <w:pPr>
              <w:spacing w:before="0" w:after="0"/>
            </w:pPr>
            <w:r>
              <w:t>Deadline for explanation submission (</w:t>
            </w:r>
            <w:r>
              <w:rPr>
                <w:rStyle w:val="af4"/>
              </w:rPr>
              <w:t>yyyy-MM-dd</w:t>
            </w:r>
            <w:r>
              <w:t xml:space="preserve"> format)</w:t>
            </w:r>
          </w:p>
        </w:tc>
      </w:tr>
      <w:tr>
        <w:tc>
          <w:p>
            <w:pPr>
              <w:spacing w:before="0" w:after="0"/>
            </w:pPr>
            <w:r>
              <w:t>$expire_time</w:t>
            </w:r>
          </w:p>
        </w:tc>
        <w:tc>
          <w:p>
            <w:pPr>
              <w:spacing w:before="0" w:after="0"/>
            </w:pPr>
            <w:r>
              <w:t>Deadline time for explanation submission (</w:t>
            </w:r>
            <w:r>
              <w:rPr>
                <w:rStyle w:val="af4"/>
              </w:rPr>
              <w:t>HH:mm:ss</w:t>
            </w:r>
            <w:r>
              <w:t xml:space="preserve"> format)</w:t>
            </w:r>
          </w:p>
        </w:tc>
      </w:tr>
      <w:tr>
        <w:tc>
          <w:p>
            <w:pPr>
              <w:spacing w:before="0" w:after="0"/>
            </w:pPr>
            <w:r>
              <w:t>$user_note</w:t>
            </w:r>
          </w:p>
        </w:tc>
        <w:tc>
          <w:p>
            <w:pPr>
              <w:spacing w:before="0" w:after="0"/>
            </w:pPr>
            <w:r>
              <w:t xml:space="preserve">Content entered in the </w:t>
            </w:r>
            <w:r>
              <w:rPr>
                <w:b w:val="on"/>
              </w:rPr>
              <w:t>Remarks</w:t>
            </w:r>
            <w:r>
              <w:t xml:space="preserve"> property of the </w:t>
            </w:r>
            <w:hyperlink r:id="rId12">
              <w:r>
                <w:rPr>
                  <w:rStyle w:val="a6"/>
                </w:rPr>
                <w:t>Real-time</w:t>
              </w:r>
            </w:hyperlink>
            <w:r>
              <w:t>/</w:t>
            </w:r>
            <w:hyperlink r:id="rId13">
              <w:r>
                <w:rPr>
                  <w:rStyle w:val="a6"/>
                </w:rPr>
                <w:t>Batch</w:t>
              </w:r>
            </w:hyperlink>
            <w:r>
              <w:t xml:space="preserve"> detection scenarios</w:t>
            </w:r>
          </w:p>
        </w:tc>
      </w:tr>
    </w:tbl>
    <w:p>
      <w:pPr>
        <w:pStyle w:val="a7"/>
      </w:pPr>
      <w:r>
        <w:t>Separation of Communication Ports</w:t>
      </w:r>
    </w:p>
    <w:p>
      <w:r>
        <w:t xml:space="preserve">In versions prior to 4.0.2404.0, the web console and the explanation submission/review page used the same communication port. Starting from version 4.0.2404.0, the communication ports for the web console and the explanation submission/review page have been separated (Refer to: </w:t>
      </w:r>
      <w:hyperlink r:id="rId14">
        <w:r>
          <w:rPr>
            <w:rStyle w:val="a6"/>
          </w:rPr>
          <w:t>SNR#2286</w:t>
        </w:r>
      </w:hyperlink>
      <w:r>
        <w:t>). Consequently, the communication port for the explanation submission/review page will be assigned differently based on the upgrade/installation method.</w:t>
      </w:r>
    </w:p>
    <w:p>
      <w:r>
        <w:rPr>
          <w:b w:val="on"/>
        </w:rPr>
        <w:t>Upgrading from a previous version to 4.0.2404.0:</w:t>
      </w:r>
    </w:p>
    <w:p>
      <w:pPr>
        <w:ind w:left="400"/>
      </w:pPr>
      <w:r>
        <w:t>The previously configured web access address and port number will be retained for backward compatibility.</w:t>
      </w:r>
    </w:p>
    <w:p>
      <w:pPr>
        <w:pStyle w:val="af1"/>
      </w:pPr>
      <w:r>
        <w:t>The explanation reception function of the existing web port will be maintained, but it is recommended to separate the web port to enhance security.</w:t>
      </w:r>
    </w:p>
    <w:p>
      <w:r>
        <w:rPr>
          <w:b w:val="on"/>
        </w:rPr>
        <w:t>Fresh installation of version 4.0.2404.0:</w:t>
      </w:r>
    </w:p>
    <w:p>
      <w:pPr>
        <w:ind w:left="400"/>
      </w:pPr>
      <w:r>
        <w:t xml:space="preserve">The port number will be specified using the </w:t>
      </w:r>
      <w:r>
        <w:rPr>
          <w:rStyle w:val="af4"/>
        </w:rPr>
        <w:t>logpresso.sonar.explanation_port</w:t>
      </w:r>
      <w:r>
        <w:t xml:space="preserve"> system switch (default value if unspecified: </w:t>
      </w:r>
      <w:r>
        <w:rPr>
          <w:b w:val="on"/>
        </w:rPr>
        <w:t>18443</w:t>
      </w:r>
      <w:r>
        <w:t>).</w:t>
      </w:r>
    </w:p>
    <w:p>
      <w:pPr>
        <w:pStyle w:val="ae"/>
      </w:pPr>
      <w:r>
        <w:t># Use port 12345 for the explanation request/review page communication port</w:t>
        <w:cr/>
      </w:r>
      <w:r>
        <w:t xml:space="preserve">    -Dlogpresso.sonar.explanation_port=12345</w:t>
      </w:r>
    </w:p>
    <w:p>
      <w:pPr>
        <w:pStyle w:val="4"/>
      </w:pPr>
      <w:r>
        <w:t>Web Endpoint</w:t>
      </w:r>
    </w:p>
    <w:p>
      <w:r>
        <w:t>The web endpoint is the access address used for the hyperlinks provided in the explanation request email/SMS and review request email/SMS, linking to the explanation submission/review page.</w:t>
      </w:r>
    </w:p>
    <w:p>
      <w:r>
        <w:t xml:space="preserve">To set the web access address, enter it in the format </w:t>
      </w:r>
      <w:r>
        <w:rPr>
          <w:rStyle w:val="af4"/>
        </w:rPr>
        <w:t>https://IP address:port number</w:t>
      </w:r>
      <w:r>
        <w:t xml:space="preserve"> and click </w:t>
      </w:r>
      <w:r>
        <w:rPr>
          <w:b w:val="on"/>
        </w:rPr>
        <w:t>Save</w:t>
      </w:r>
      <w:r>
        <w:t>.</w:t>
      </w:r>
    </w:p>
    <w:p>
      <w:pPr>
        <w:numPr>
          <w:numId w:val="6"/>
        </w:numPr>
        <w:spacing w:before="0" w:after="0"/>
        <w:ind w:left="360" w:hanging="360"/>
      </w:pPr>
      <w:r>
        <w:rPr>
          <w:b w:val="on"/>
        </w:rPr>
        <w:t>IP Address</w:t>
      </w:r>
      <w:r>
        <w:t xml:space="preserve">: The IP address of the Logpresso server. In a cluster configuration, specify the </w:t>
      </w:r>
      <w:r>
        <w:rPr>
          <w:b w:val="on"/>
        </w:rPr>
        <w:t>virtual IP address of the control node</w:t>
      </w:r>
      <w:r>
        <w:t>.</w:t>
      </w:r>
    </w:p>
    <w:p>
      <w:pPr>
        <w:numPr>
          <w:numId w:val="6"/>
        </w:numPr>
        <w:spacing w:before="0" w:after="0"/>
        <w:ind w:left="360" w:hanging="360"/>
      </w:pPr>
      <w:r>
        <w:rPr>
          <w:b w:val="on"/>
        </w:rPr>
        <w:t>Port Number</w:t>
      </w:r>
      <w:r>
        <w:t xml:space="preserve">: The port number specified by the </w:t>
      </w:r>
      <w:r>
        <w:rPr>
          <w:rStyle w:val="af4"/>
        </w:rPr>
        <w:t>logpresso.sonar.explanation_port</w:t>
      </w:r>
      <w:r>
        <w:t xml:space="preserve"> system switch.</w:t>
      </w:r>
    </w:p>
    <w:p>
      <w:r>
        <w:t>Below is an example of setting the web access address in an environment where the hostname can be resolved to an IP address.</w:t>
      </w:r>
    </w:p>
    <w:p>
      <w:pPr>
        <w:pStyle w:val="af1"/>
      </w:pPr>
      <w:r>
        <w:t>If DNS services are provided in the network, you can use a hostname or FQDN instead of an IP address.</w:t>
      </w:r>
    </w:p>
    <w:p>
      <w:pPr>
        <w:pStyle w:val="4"/>
      </w:pPr>
      <w:r>
        <w:t>Push Template: Email Template</w:t>
      </w:r>
    </w:p>
    <w:p>
      <w:r>
        <w:t xml:space="preserve">In the </w:t>
      </w:r>
      <w:r>
        <w:rPr>
          <w:b w:val="on"/>
        </w:rPr>
        <w:t>Email Template</w:t>
      </w:r>
      <w:r>
        <w:t xml:space="preserve">'s </w:t>
      </w:r>
      <w:r>
        <w:rPr>
          <w:b w:val="on"/>
        </w:rPr>
        <w:t>Write</w:t>
      </w:r>
      <w:r>
        <w:t xml:space="preserve"> tab, you can write the template to be applied to explanation requests and review requests.</w:t>
      </w:r>
    </w:p>
    <w:p>
      <w:pPr>
        <w:numPr>
          <w:numId w:val="7"/>
        </w:numPr>
        <w:spacing w:before="0" w:after="0"/>
        <w:ind w:left="360" w:hanging="360"/>
      </w:pPr>
      <w:r>
        <w:t>First, select the language (Korean, English, Chinese) from the top right corner, then create the template (default: Korean).</w:t>
      </w:r>
    </w:p>
    <w:p>
      <w:pPr>
        <w:numPr>
          <w:numId w:val="7"/>
        </w:numPr>
        <w:spacing w:before="0" w:after="0"/>
        <w:ind w:left="360" w:hanging="360"/>
      </w:pPr>
      <w:r>
        <w:t xml:space="preserve">Clicking </w:t>
      </w:r>
      <w:r>
        <w:rPr>
          <w:b w:val="on"/>
        </w:rPr>
        <w:t>Reset</w:t>
      </w:r>
      <w:r>
        <w:t xml:space="preserve"> will clear the entered content.</w:t>
      </w:r>
    </w:p>
    <w:p>
      <w:pPr>
        <w:numPr>
          <w:numId w:val="7"/>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7"/>
        </w:numPr>
        <w:spacing w:before="0" w:after="0"/>
        <w:ind w:left="360" w:hanging="360"/>
      </w:pPr>
      <w:r>
        <w:t xml:space="preserve">Clicking </w:t>
      </w:r>
      <w:r>
        <w:rPr>
          <w:b w:val="on"/>
        </w:rPr>
        <w:t>Save</w:t>
      </w:r>
      <w:r>
        <w:t xml:space="preserve"> will save the created content.</w:t>
      </w:r>
    </w:p>
    <w:p>
      <w:pPr>
        <w:numPr>
          <w:numId w:val="7"/>
        </w:numPr>
        <w:spacing w:before="0" w:after="0"/>
        <w:ind w:left="360" w:hanging="360"/>
      </w:pPr>
      <w:r>
        <w:t>Macro variables are automatically replaced with actual values when the email is sent.</w:t>
      </w:r>
    </w:p>
    <w:p>
      <w:r>
        <w:t xml:space="preserve">In the </w:t>
      </w:r>
      <w:r>
        <w:rPr>
          <w:b w:val="on"/>
        </w:rPr>
        <w:t>Preview</w:t>
      </w:r>
      <w:r>
        <w:t xml:space="preserve"> tab, you can view the email template rendered in HTML format based on the entered content.</w:t>
      </w:r>
    </w:p>
    <w:p>
      <w:pPr>
        <w:pStyle w:val="4"/>
      </w:pPr>
      <w:r>
        <w:t>Push Template: SMS Template</w:t>
      </w:r>
    </w:p>
    <w:p>
      <w:r>
        <w:t xml:space="preserve">In the </w:t>
      </w:r>
      <w:r>
        <w:rPr>
          <w:b w:val="on"/>
        </w:rPr>
        <w:t>SMS Notification</w:t>
      </w:r>
      <w:r>
        <w:t>, you can write the template to be applied to explanation requests and review requests via SMS.</w:t>
      </w:r>
    </w:p>
    <w:p>
      <w:pPr>
        <w:numPr>
          <w:numId w:val="8"/>
        </w:numPr>
        <w:spacing w:before="0" w:after="0"/>
        <w:ind w:left="360" w:hanging="360"/>
      </w:pPr>
      <w:r>
        <w:t>First, select the language (Korean, English, Chinese) from the top right corner, then create the template (default: Korean).</w:t>
      </w:r>
    </w:p>
    <w:p>
      <w:pPr>
        <w:numPr>
          <w:numId w:val="8"/>
        </w:numPr>
        <w:spacing w:before="0" w:after="0"/>
        <w:ind w:left="360" w:hanging="360"/>
      </w:pPr>
      <w:r>
        <w:t xml:space="preserve">Clicking </w:t>
      </w:r>
      <w:r>
        <w:rPr>
          <w:b w:val="on"/>
        </w:rPr>
        <w:t>Reset</w:t>
      </w:r>
      <w:r>
        <w:t xml:space="preserve"> will clear the entered content.</w:t>
      </w:r>
    </w:p>
    <w:p>
      <w:pPr>
        <w:numPr>
          <w:numId w:val="8"/>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8"/>
        </w:numPr>
        <w:spacing w:before="0" w:after="0"/>
        <w:ind w:left="360" w:hanging="360"/>
      </w:pPr>
      <w:r>
        <w:t xml:space="preserve">Clicking </w:t>
      </w:r>
      <w:r>
        <w:rPr>
          <w:b w:val="on"/>
        </w:rPr>
        <w:t>Save</w:t>
      </w:r>
      <w:r>
        <w:t xml:space="preserve"> will save the created content.</w:t>
      </w:r>
    </w:p>
    <w:p>
      <w:pPr>
        <w:numPr>
          <w:numId w:val="8"/>
        </w:numPr>
        <w:spacing w:before="0" w:after="0"/>
        <w:ind w:left="360" w:hanging="360"/>
      </w:pPr>
      <w:r>
        <w:t>Macro variables are automatically replaced with actual values when the SMS is sent.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