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Execute</w:t>
      </w:r>
    </w:p>
    <w:p>
      <w:r>
        <w:t>This task lets you automate various actions using command groups. Installing a Logpresso app adds the command groups provided by that app to the playbook.</w:t>
      </w:r>
    </w:p>
    <w:p>
      <w:r>
        <w:drawing>
          <wp:inline distT="0" distR="0" distB="0" distL="0">
            <wp:extent cx="5715000" cy="152400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 Group</w:t>
      </w:r>
    </w:p>
    <w:p>
      <w:pPr>
        <w:ind w:left="400"/>
      </w:pPr>
      <w:r>
        <w:t>A command group is a collection of commands the task can execute. In addition to the built-in command group, installing a Logpresso app that supports playbooks extends the available command groups.</w:t>
      </w:r>
    </w:p>
    <w:p>
      <w:r>
        <w:rPr>
          <w:b w:val="on"/>
        </w:rPr>
        <w:t>Command</w:t>
      </w:r>
    </w:p>
    <w:p>
      <w:pPr>
        <w:ind w:left="400"/>
      </w:pPr>
      <w:r>
        <w:t xml:space="preserve">Select the command to execute from the command list. After selecting a </w:t>
      </w:r>
      <w:r>
        <w:rPr>
          <w:b w:val="on"/>
        </w:rPr>
        <w:t>Command</w:t>
      </w:r>
      <w:r>
        <w:t xml:space="preserve">, you can specify the required </w:t>
      </w:r>
      <w:r>
        <w:rPr>
          <w:b w:val="on"/>
        </w:rPr>
        <w:t>input parameters</w:t>
      </w:r>
      <w:r>
        <w:t xml:space="preserve"> and view the </w:t>
      </w:r>
      <w:r>
        <w:rPr>
          <w:b w:val="on"/>
        </w:rPr>
        <w:t>output parameters</w:t>
      </w:r>
      <w:r>
        <w:t>.</w:t>
      </w:r>
    </w:p>
    <w:p>
      <w:r>
        <w:t>The commands provided by the Maestro command group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Command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hyperlink r:id="rId11">
              <w:r>
                <w:rPr>
                  <w:rStyle w:val="a6"/>
                </w:rPr>
                <w:t>Create article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an article-type ticket and returns its GUID as an output parameter</w:t>
            </w:r>
          </w:p>
        </w:tc>
      </w:tr>
      <w:tr>
        <w:tc>
          <w:p>
            <w:pPr>
              <w:spacing w:before="0" w:after="0"/>
            </w:pPr>
            <w:hyperlink r:id="rId12">
              <w:r>
                <w:rPr>
                  <w:rStyle w:val="a6"/>
                </w:rPr>
                <w:t>Validate directory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Checks whether a local directory exists on the Logpresso Sonar system</w:t>
            </w:r>
          </w:p>
        </w:tc>
      </w:tr>
      <w:tr>
        <w:tc>
          <w:p>
            <w:pPr>
              <w:spacing w:before="0" w:after="0"/>
            </w:pPr>
            <w:hyperlink r:id="rId13">
              <w:r>
                <w:rPr>
                  <w:rStyle w:val="a6"/>
                </w:rPr>
                <w:t>Remove blacklist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Removes a specific IP address from a specified address list</w:t>
            </w:r>
          </w:p>
        </w:tc>
      </w:tr>
      <w:tr>
        <w:tc>
          <w:p>
            <w:pPr>
              <w:spacing w:before="0" w:after="0"/>
            </w:pPr>
            <w:hyperlink r:id="rId14">
              <w:r>
                <w:rPr>
                  <w:rStyle w:val="a6"/>
                </w:rPr>
                <w:t>Add blacklist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Adds a specific IP address to a specified address list</w:t>
            </w:r>
          </w:p>
        </w:tc>
      </w:tr>
      <w:tr>
        <w:tc>
          <w:p>
            <w:pPr>
              <w:spacing w:before="0" w:after="0"/>
            </w:pPr>
            <w:hyperlink r:id="rId15">
              <w:r>
                <w:rPr>
                  <w:rStyle w:val="a6"/>
                </w:rPr>
                <w:t>Create ticket from event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a ticket based on an input event and returns the ticket GUID</w:t>
            </w:r>
          </w:p>
        </w:tc>
      </w:tr>
      <w:tr>
        <w:tc>
          <w:p>
            <w:pPr>
              <w:spacing w:before="0" w:after="0"/>
            </w:pPr>
            <w:hyperlink r:id="rId16">
              <w:r>
                <w:rPr>
                  <w:rStyle w:val="a6"/>
                </w:rPr>
                <w:t>Get Investigate Result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Retrieves an investigation result of a ticket</w:t>
            </w:r>
          </w:p>
        </w:tc>
      </w:tr>
      <w:tr>
        <w:tc>
          <w:p>
            <w:pPr>
              <w:spacing w:before="0" w:after="0"/>
            </w:pPr>
            <w:hyperlink r:id="rId17">
              <w:r>
                <w:rPr>
                  <w:rStyle w:val="a6"/>
                </w:rPr>
                <w:t>Add Investigate Result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Adds a query result as an investigation result and returns its GUID as an output parameter</w:t>
            </w:r>
          </w:p>
        </w:tc>
      </w:tr>
      <w:tr>
        <w:tc>
          <w:p>
            <w:pPr>
              <w:spacing w:before="0" w:after="0"/>
            </w:pPr>
            <w:hyperlink r:id="rId18">
              <w:r>
                <w:rPr>
                  <w:rStyle w:val="a6"/>
                </w:rPr>
                <w:t>Validate file attachment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Validates the local file path and size on the Logpresso Sonar system</w:t>
            </w:r>
          </w:p>
        </w:tc>
      </w:tr>
      <w:tr>
        <w:tc>
          <w:p>
            <w:pPr>
              <w:spacing w:before="0" w:after="0"/>
            </w:pPr>
            <w:hyperlink r:id="rId19">
              <w:r>
                <w:rPr>
                  <w:rStyle w:val="a6"/>
                </w:rPr>
                <w:t>Add file attachment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Attaches a file to a ticket and returns the file GUID, size, and name</w:t>
            </w:r>
          </w:p>
        </w:tc>
      </w:tr>
      <w:tr>
        <w:tc>
          <w:p>
            <w:pPr>
              <w:spacing w:before="0" w:after="0"/>
            </w:pPr>
            <w:hyperlink r:id="rId20">
              <w:r>
                <w:rPr>
                  <w:rStyle w:val="a6"/>
                </w:rPr>
                <w:t>Update IP indicator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or updates an indicator (IP address)</w:t>
            </w:r>
          </w:p>
        </w:tc>
      </w:tr>
      <w:tr>
        <w:tc>
          <w:p>
            <w:pPr>
              <w:spacing w:before="0" w:after="0"/>
            </w:pPr>
            <w:hyperlink r:id="rId21">
              <w:r>
                <w:rPr>
                  <w:rStyle w:val="a6"/>
                </w:rPr>
                <w:t>Update MD5 indicator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or updates an indicator (MD5)</w:t>
            </w:r>
          </w:p>
        </w:tc>
      </w:tr>
      <w:tr>
        <w:tc>
          <w:p>
            <w:pPr>
              <w:spacing w:before="0" w:after="0"/>
            </w:pPr>
            <w:hyperlink r:id="rId22">
              <w:r>
                <w:rPr>
                  <w:rStyle w:val="a6"/>
                </w:rPr>
                <w:t>Update URL indicator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or updates an indicator (URL)</w:t>
            </w:r>
          </w:p>
        </w:tc>
      </w:tr>
      <w:tr>
        <w:tc>
          <w:p>
            <w:pPr>
              <w:spacing w:before="0" w:after="0"/>
            </w:pPr>
            <w:hyperlink r:id="rId23">
              <w:r>
                <w:rPr>
                  <w:rStyle w:val="a6"/>
                </w:rPr>
                <w:t>Update Domain indicator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or updates an indicator (domain)</w:t>
            </w:r>
          </w:p>
        </w:tc>
      </w:tr>
      <w:tr>
        <w:tc>
          <w:p>
            <w:pPr>
              <w:spacing w:before="0" w:after="0"/>
            </w:pPr>
            <w:hyperlink r:id="rId24">
              <w:r>
                <w:rPr>
                  <w:rStyle w:val="a6"/>
                </w:rPr>
                <w:t>Update Email indicator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or updates an indicator (email)</w:t>
            </w:r>
          </w:p>
        </w:tc>
      </w:tr>
      <w:tr>
        <w:tc>
          <w:p>
            <w:pPr>
              <w:spacing w:before="0" w:after="0"/>
            </w:pPr>
            <w:hyperlink r:id="rId25">
              <w:r>
                <w:rPr>
                  <w:rStyle w:val="a6"/>
                </w:rPr>
                <w:t>Set ticket indicent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Changes the incident status of a ticket</w:t>
            </w:r>
          </w:p>
        </w:tc>
      </w:tr>
      <w:tr>
        <w:tc>
          <w:p>
            <w:pPr>
              <w:spacing w:before="0" w:after="0"/>
            </w:pPr>
            <w:hyperlink r:id="rId26">
              <w:r>
                <w:rPr>
                  <w:rStyle w:val="a6"/>
                </w:rPr>
                <w:t>Set ticket status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Changes the status of a ticket</w:t>
            </w:r>
          </w:p>
        </w:tc>
      </w:tr>
      <w:tr>
        <w:tc>
          <w:p>
            <w:pPr>
              <w:spacing w:before="0" w:after="0"/>
            </w:pPr>
            <w:hyperlink r:id="rId27">
              <w:r>
                <w:rPr>
                  <w:rStyle w:val="a6"/>
                </w:rPr>
                <w:t>Create ticket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Creates a new ticket and returns its GUID as an output parameter</w:t>
            </w:r>
          </w:p>
        </w:tc>
      </w:tr>
      <w:tr>
        <w:tc>
          <w:p>
            <w:pPr>
              <w:spacing w:before="0" w:after="0"/>
            </w:pPr>
            <w:hyperlink r:id="rId28">
              <w:r>
                <w:rPr>
                  <w:rStyle w:val="a6"/>
                </w:rPr>
                <w:t>Set ticket attack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Changes the true/false positive status of a ticket</w:t>
            </w:r>
          </w:p>
        </w:tc>
      </w:tr>
      <w:tr>
        <w:tc>
          <w:p>
            <w:pPr>
              <w:spacing w:before="0" w:after="0"/>
            </w:pPr>
            <w:hyperlink r:id="rId29">
              <w:r>
                <w:rPr>
                  <w:rStyle w:val="a6"/>
                </w:rPr>
                <w:t>Set ticket priority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Changes the priority of a ticket</w:t>
            </w:r>
          </w:p>
        </w:tc>
      </w:tr>
      <w:tr>
        <w:tc>
          <w:p>
            <w:pPr>
              <w:spacing w:before="0" w:after="0"/>
            </w:pPr>
            <w:hyperlink r:id="rId30">
              <w:r>
                <w:rPr>
                  <w:rStyle w:val="a6"/>
                </w:rPr>
                <w:t>Add ticket comment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Adds a comment to a ticket</w:t>
            </w:r>
          </w:p>
        </w:tc>
      </w:tr>
      <w:tr>
        <w:tc>
          <w:p>
            <w:pPr>
              <w:spacing w:before="0" w:after="0"/>
            </w:pPr>
            <w:hyperlink r:id="rId31">
              <w:r>
                <w:rPr>
                  <w:rStyle w:val="a6"/>
                </w:rPr>
                <w:t>Set ticket tags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Sets tags on a ticket</w:t>
            </w:r>
          </w:p>
        </w:tc>
      </w:tr>
      <w:tr>
        <w:tc>
          <w:p>
            <w:pPr>
              <w:spacing w:before="0" w:after="0"/>
            </w:pPr>
            <w:hyperlink r:id="rId32">
              <w:r>
                <w:rPr>
                  <w:rStyle w:val="a6"/>
                </w:rPr>
                <w:t>Add ticket tags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Adds tags to a ticket</w:t>
            </w:r>
          </w:p>
        </w:tc>
      </w:tr>
      <w:tr>
        <w:tc>
          <w:p>
            <w:pPr>
              <w:spacing w:before="0" w:after="0"/>
            </w:pPr>
            <w:hyperlink r:id="rId33">
              <w:r>
                <w:rPr>
                  <w:rStyle w:val="a6"/>
                </w:rPr>
                <w:t>Set ticket assignee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Sets the assignee and approver of a ticket</w:t>
            </w:r>
          </w:p>
        </w:tc>
      </w:tr>
      <w:tr>
        <w:tc>
          <w:p>
            <w:pPr>
              <w:spacing w:before="0" w:after="0"/>
            </w:pPr>
            <w:hyperlink r:id="rId34">
              <w:r>
                <w:rPr>
                  <w:rStyle w:val="a6"/>
                </w:rPr>
                <w:t>Add pattern</w:t>
              </w:r>
            </w:hyperlink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Adds a pattern to a pattern group</w:t>
            </w:r>
          </w:p>
        </w:tc>
      </w:tr>
    </w:tbl>
    <w:p>
      <w:r>
        <w:t>The commands provided by the Sonar command group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Command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hyperlink r:id="rId35">
              <w:r>
                <w:rPr>
                  <w:rStyle w:val="a6"/>
                </w:rPr>
                <w:t>Send report</w:t>
              </w:r>
            </w:hyperlink>
            <w:r>
              <w:t/>
            </w:r>
          </w:p>
        </w:tc>
        <w:tc>
          <w:p>
            <w:pPr>
              <w:spacing w:before="0" w:after="0"/>
            </w:pPr>
            <w:r>
              <w:t>Generates a report for a specified date range using a registered report template and sends it by email</w:t>
            </w:r>
          </w:p>
        </w:tc>
      </w:tr>
      <w:tr>
        <w:tc>
          <w:p>
            <w:pPr>
              <w:spacing w:before="0" w:after="0"/>
            </w:pPr>
            <w:hyperlink r:id="rId36">
              <w:r>
                <w:rPr>
                  <w:rStyle w:val="a6"/>
                </w:rPr>
                <w:t>Export report</w:t>
              </w:r>
            </w:hyperlink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>Generates a report for a specified date range using a registered report template and saves it</w:t>
            </w:r>
          </w:p>
        </w:tc>
      </w:tr>
    </w:tbl>
    <w:p>
      <w:pPr>
        <w:pStyle w:val="4"/>
      </w:pPr>
      <w:r>
        <w:t>Create article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Create Article</w:t>
      </w:r>
      <w:r>
        <w:t>, this task creates an article-type ticket and returns the ticket's GUID as an output parameter.</w:t>
      </w:r>
    </w:p>
    <w:p>
      <w:r>
        <w:drawing>
          <wp:inline distT="0" distR="0" distB="0" distL="0">
            <wp:extent cx="5715000" cy="196977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6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repository GUID*</w:t>
            </w:r>
          </w:p>
        </w:tc>
        <w:tc>
          <w:p>
            <w:pPr>
              <w:spacing w:before="0" w:after="0"/>
            </w:pPr>
            <w:r>
              <w:t>The GUID of the ticket repository where the ticket will be created</w:t>
            </w:r>
          </w:p>
        </w:tc>
      </w:tr>
      <w:tr>
        <w:tc>
          <w:p>
            <w:pPr>
              <w:spacing w:before="0" w:after="0"/>
            </w:pPr>
            <w:r>
              <w:t>Article title*</w:t>
            </w:r>
          </w:p>
        </w:tc>
        <w:tc>
          <w:p>
            <w:pPr>
              <w:spacing w:before="0" w:after="0"/>
            </w:pPr>
            <w:r>
              <w:t>The title of the ticket to create</w:t>
            </w:r>
          </w:p>
        </w:tc>
      </w:tr>
      <w:tr>
        <w:tc>
          <w:p>
            <w:pPr>
              <w:spacing w:before="0" w:after="0"/>
            </w:pPr>
            <w:r>
              <w:t>Format</w:t>
            </w:r>
          </w:p>
        </w:tc>
        <w:tc>
          <w:p>
            <w:pPr>
              <w:spacing w:before="0" w:after="0"/>
            </w:pPr>
            <w:r>
              <w:t>Input format for the article content (</w:t>
            </w:r>
            <w:r>
              <w:rPr>
                <w:rStyle w:val="af4"/>
              </w:rPr>
              <w:t>PLAIN</w:t>
            </w:r>
            <w:r>
              <w:t xml:space="preserve"> or </w:t>
            </w:r>
            <w:r>
              <w:rPr>
                <w:rStyle w:val="af4"/>
              </w:rPr>
              <w:t>MARKDOWN</w:t>
            </w:r>
            <w:r>
              <w:t xml:space="preserve">; defaults to </w:t>
            </w:r>
            <w:r>
              <w:rPr>
                <w:rStyle w:val="af4"/>
              </w:rPr>
              <w:t>MARKDOWN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t>Article content*</w:t>
            </w:r>
          </w:p>
        </w:tc>
        <w:tc>
          <w:p>
            <w:pPr>
              <w:spacing w:before="0" w:after="0"/>
            </w:pPr>
            <w:r>
              <w:t>The article content</w:t>
            </w:r>
          </w:p>
        </w:tc>
      </w:tr>
      <w:tr>
        <w:tc>
          <w:p>
            <w:pPr>
              <w:spacing w:before="0" w:after="0"/>
            </w:pPr>
            <w:r>
              <w:t>Priority</w:t>
            </w:r>
          </w:p>
        </w:tc>
        <w:tc>
          <w:p>
            <w:pPr>
              <w:spacing w:before="0" w:after="0"/>
            </w:pPr>
            <w:r>
              <w:t xml:space="preserve">One of </w:t>
            </w: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or </w:t>
            </w:r>
            <w:r>
              <w:rPr>
                <w:rStyle w:val="af4"/>
              </w:rPr>
              <w:t>HIGH</w:t>
            </w:r>
            <w:r>
              <w:t xml:space="preserve">. Defaults to </w:t>
            </w:r>
            <w:r>
              <w:rPr>
                <w:rStyle w:val="af4"/>
              </w:rPr>
              <w:t>LOW</w:t>
            </w:r>
            <w:r>
              <w:t xml:space="preserve"> if not specified.</w:t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t xml:space="preserve">All input parameters can be set by selecting from the </w:t>
      </w:r>
      <w:r>
        <w:rPr>
          <w:b w:val="on"/>
        </w:rPr>
        <w:t>Parameter</w:t>
      </w:r>
      <w:r>
        <w:t xml:space="preserve"> list or by selecting </w:t>
      </w:r>
      <w:r>
        <w:rPr>
          <w:b w:val="on"/>
        </w:rPr>
        <w:t>String</w:t>
      </w:r>
      <w:r>
        <w:t xml:space="preserve"> and entering a value.</w:t>
      </w:r>
    </w:p>
    <w:p>
      <w:pPr>
        <w:numPr>
          <w:numId w:val="6"/>
        </w:numPr>
        <w:spacing w:before="0" w:after="0"/>
        <w:ind w:left="400" w:hanging="360"/>
      </w:pPr>
      <w:r>
        <w:t>The parameter list only includes values defined in preceding task output parameters or playbook input parameters.</w:t>
      </w:r>
    </w:p>
    <w:p>
      <w:r>
        <w:rPr>
          <w:b w:val="on"/>
        </w:rPr>
        <w:t>Output parameters</w:t>
      </w:r>
    </w:p>
    <w:p>
      <w:r>
        <w:t>The output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Name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Ticket GUID</w:t>
            </w:r>
          </w:p>
        </w:tc>
        <w:tc>
          <w:p>
            <w:pPr>
              <w:spacing w:before="0" w:after="0"/>
              <w:ind w:left="400"/>
            </w:pPr>
            <w:r>
              <w:t>The GUID of the created ticket</w:t>
            </w:r>
          </w:p>
        </w:tc>
      </w:tr>
    </w:tbl>
    <w:p>
      <w:pPr>
        <w:pStyle w:val="4"/>
      </w:pPr>
      <w:r>
        <w:t>Validate directory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Validate Directory</w:t>
      </w:r>
      <w:r>
        <w:t>, this task checks whether a directory exists on the local file system of the server running the playbook. The task fails if the directory does not exist.</w:t>
      </w:r>
    </w:p>
    <w:p>
      <w:r>
        <w:drawing>
          <wp:inline distT="0" distR="0" distB="0" distL="0">
            <wp:extent cx="5715000" cy="126111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61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Path*</w:t>
            </w:r>
          </w:p>
        </w:tc>
        <w:tc>
          <w:p>
            <w:pPr>
              <w:spacing w:before="0" w:after="0"/>
              <w:ind w:left="400"/>
            </w:pPr>
            <w:r>
              <w:t xml:space="preserve">Directory path starting with </w:t>
            </w:r>
            <w:r>
              <w:rPr>
                <w:rStyle w:val="af4"/>
              </w:rPr>
              <w:t>file://</w:t>
            </w:r>
            <w:r>
              <w:t/>
            </w:r>
          </w:p>
        </w:tc>
      </w:tr>
    </w:tbl>
    <w:p>
      <w:pPr>
        <w:pStyle w:val="4"/>
      </w:pPr>
      <w:r>
        <w:t>Remove blacklist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Remove blacklist</w:t>
      </w:r>
      <w:r>
        <w:t>, this task removes a specific IP address from a specified address list.</w:t>
      </w:r>
    </w:p>
    <w:p>
      <w:r>
        <w:drawing>
          <wp:inline distT="0" distR="0" distB="0" distL="0">
            <wp:extent cx="5715000" cy="139192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group*</w:t>
            </w:r>
          </w:p>
        </w:tc>
        <w:tc>
          <w:p>
            <w:pPr>
              <w:spacing w:before="0" w:after="0"/>
            </w:pPr>
            <w:r>
              <w:t>The GUID of the address group</w:t>
            </w:r>
          </w:p>
        </w:tc>
      </w:tr>
      <w:tr>
        <w:tc>
          <w:p>
            <w:pPr>
              <w:spacing w:before="0" w:after="0"/>
            </w:pPr>
            <w:r>
              <w:t>ip*</w:t>
            </w:r>
          </w:p>
        </w:tc>
        <w:tc>
          <w:p>
            <w:pPr>
              <w:spacing w:before="0" w:after="0"/>
              <w:ind w:left="400"/>
            </w:pPr>
            <w:r>
              <w:t>The IP address to remove from the group</w:t>
            </w:r>
          </w:p>
        </w:tc>
      </w:tr>
    </w:tbl>
    <w:p>
      <w:pPr>
        <w:pStyle w:val="4"/>
      </w:pPr>
      <w:r>
        <w:t>Add blacklist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Add blacklist</w:t>
      </w:r>
      <w:r>
        <w:t>, this task adds an IP address to be managed as a blocklist entry in the specified address group.</w:t>
      </w:r>
    </w:p>
    <w:p>
      <w:r>
        <w:drawing>
          <wp:inline distT="0" distR="0" distB="0" distL="0">
            <wp:extent cx="5715000" cy="165481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5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Address group GUID*</w:t>
            </w:r>
          </w:p>
        </w:tc>
        <w:tc>
          <w:p>
            <w:pPr>
              <w:spacing w:before="0" w:after="0"/>
            </w:pPr>
            <w:r>
              <w:t>The GUID of the address group</w:t>
            </w:r>
          </w:p>
        </w:tc>
      </w:tr>
      <w:tr>
        <w:tc>
          <w:p>
            <w:pPr>
              <w:spacing w:before="0" w:after="0"/>
            </w:pPr>
            <w:r>
              <w:t>IP address*</w:t>
            </w:r>
          </w:p>
        </w:tc>
        <w:tc>
          <w:p>
            <w:pPr>
              <w:spacing w:before="0" w:after="0"/>
            </w:pPr>
            <w:r>
              <w:t>The IP address to add to the group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A detailed description of the IP address</w:t>
            </w:r>
          </w:p>
        </w:tc>
      </w:tr>
      <w:tr>
        <w:tc>
          <w:p>
            <w:pPr>
              <w:spacing w:before="0" w:after="0"/>
            </w:pPr>
            <w:r>
              <w:t>period</w:t>
            </w:r>
          </w:p>
        </w:tc>
        <w:tc>
          <w:p>
            <w:pPr>
              <w:spacing w:before="0" w:after="0"/>
              <w:ind w:left="400"/>
            </w:pPr>
            <w:r>
              <w:t>The duration to maintain the IP address, in minutes</w:t>
            </w:r>
          </w:p>
        </w:tc>
      </w:tr>
    </w:tbl>
    <w:p>
      <w:pPr>
        <w:pStyle w:val="4"/>
      </w:pPr>
      <w:r>
        <w:t>Create ticket from event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Create Ticket from Event</w:t>
      </w:r>
      <w:r>
        <w:t>, this task creates a new ticket based on a specified event and returns the ticket GUID as an output parameter.</w:t>
      </w:r>
    </w:p>
    <w:p>
      <w:r>
        <w:drawing>
          <wp:inline distT="0" distR="0" distB="0" distL="0">
            <wp:extent cx="5715000" cy="183769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3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repository GUID*</w:t>
            </w:r>
          </w:p>
        </w:tc>
        <w:tc>
          <w:p>
            <w:pPr>
              <w:spacing w:before="0" w:after="0"/>
            </w:pPr>
            <w:r>
              <w:t>The GUID of the ticket repository</w:t>
            </w:r>
          </w:p>
        </w:tc>
      </w:tr>
      <w:tr>
        <w:tc>
          <w:p>
            <w:pPr>
              <w:spacing w:before="0" w:after="0"/>
            </w:pPr>
            <w:r>
              <w:t>Event GUID*</w:t>
            </w:r>
          </w:p>
        </w:tc>
        <w:tc>
          <w:p>
            <w:pPr>
              <w:spacing w:before="0" w:after="0"/>
            </w:pPr>
            <w:r>
              <w:t>The GUID of the event the ticket references</w:t>
            </w:r>
          </w:p>
        </w:tc>
      </w:tr>
      <w:tr>
        <w:tc>
          <w:p>
            <w:pPr>
              <w:spacing w:before="0" w:after="0"/>
            </w:pPr>
            <w:r>
              <w:t>Ticket title</w:t>
            </w:r>
          </w:p>
        </w:tc>
        <w:tc>
          <w:p>
            <w:pPr>
              <w:spacing w:before="0" w:after="0"/>
            </w:pPr>
            <w:r>
              <w:t>The title of the ticket</w:t>
            </w:r>
          </w:p>
        </w:tc>
      </w:tr>
      <w:tr>
        <w:tc>
          <w:p>
            <w:pPr>
              <w:spacing w:before="0" w:after="0"/>
            </w:pPr>
            <w:r>
              <w:t>Priority</w:t>
            </w:r>
          </w:p>
        </w:tc>
        <w:tc>
          <w:p>
            <w:pPr>
              <w:spacing w:before="0" w:after="0"/>
              <w:ind w:left="400"/>
            </w:pPr>
            <w:r>
              <w:t xml:space="preserve">One of </w:t>
            </w: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or </w:t>
            </w:r>
            <w:r>
              <w:rPr>
                <w:rStyle w:val="af4"/>
              </w:rPr>
              <w:t>HIGH</w:t>
            </w:r>
            <w:r>
              <w:t xml:space="preserve">. Defaults to </w:t>
            </w:r>
            <w:r>
              <w:rPr>
                <w:rStyle w:val="af4"/>
              </w:rPr>
              <w:t>LOW</w:t>
            </w:r>
            <w:r>
              <w:t xml:space="preserve"> if not specified.</w:t>
            </w:r>
          </w:p>
        </w:tc>
      </w:tr>
    </w:tbl>
    <w:p>
      <w:r>
        <w:rPr>
          <w:b w:val="on"/>
        </w:rPr>
        <w:t>Output parameters</w:t>
      </w:r>
    </w:p>
    <w:p>
      <w:r>
        <w:t>The output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Name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Ticket GUID</w:t>
            </w:r>
          </w:p>
        </w:tc>
        <w:tc>
          <w:p>
            <w:pPr>
              <w:spacing w:before="0" w:after="0"/>
              <w:ind w:left="400"/>
            </w:pPr>
            <w:r>
              <w:t>The GUID of the created ticket</w:t>
            </w:r>
          </w:p>
        </w:tc>
      </w:tr>
    </w:tbl>
    <w:p>
      <w:pPr>
        <w:pStyle w:val="4"/>
      </w:pPr>
      <w:r>
        <w:t>Get Investigate Result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Get Investigate Result</w:t>
      </w:r>
      <w:r>
        <w:t>, this task retrieves an investigation result of a ticket.</w:t>
      </w:r>
    </w:p>
    <w:p>
      <w:r>
        <w:drawing>
          <wp:inline distT="0" distR="0" distB="0" distL="0">
            <wp:extent cx="5715000" cy="12611100"/>
            <wp:docPr id="6" name="Drawing 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"/>
                    <pic:cNvPicPr>
                      <a:picLocks noChangeAspect="true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61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Investigate Result GUID*</w:t>
            </w:r>
          </w:p>
        </w:tc>
        <w:tc>
          <w:p>
            <w:pPr>
              <w:spacing w:before="0" w:after="0"/>
              <w:ind w:left="400"/>
            </w:pPr>
            <w:r>
              <w:t>The GUID of the investigation result to retrieve</w:t>
            </w:r>
          </w:p>
        </w:tc>
      </w:tr>
    </w:tbl>
    <w:p>
      <w:pPr>
        <w:pStyle w:val="4"/>
      </w:pPr>
      <w:r>
        <w:t>Add Investigate Result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Add Investigate Result</w:t>
      </w:r>
      <w:r>
        <w:t>, this task adds a query result as an investigation result to a ticket and returns its GUID as an output parameter.</w:t>
      </w:r>
    </w:p>
    <w:p>
      <w:r>
        <w:drawing>
          <wp:inline distT="0" distR="0" distB="0" distL="0">
            <wp:extent cx="5715000" cy="17983200"/>
            <wp:docPr id="7" name="Drawing 7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"/>
                    <pic:cNvPicPr>
                      <a:picLocks noChangeAspect="true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9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 to add the investigation result to</w:t>
            </w:r>
          </w:p>
        </w:tc>
      </w:tr>
      <w:tr>
        <w:tc>
          <w:p>
            <w:pPr>
              <w:spacing w:before="0" w:after="0"/>
            </w:pPr>
            <w:r>
              <w:t>Subject*</w:t>
            </w:r>
          </w:p>
        </w:tc>
        <w:tc>
          <w:p>
            <w:pPr>
              <w:spacing w:before="0" w:after="0"/>
            </w:pPr>
            <w:r>
              <w:t>The subject of the investigation result to add</w:t>
            </w:r>
          </w:p>
        </w:tc>
      </w:tr>
      <w:tr>
        <w:tc>
          <w:p>
            <w:pPr>
              <w:spacing w:before="0" w:after="0"/>
            </w:pPr>
            <w:r>
              <w:t>Query*</w:t>
            </w:r>
          </w:p>
        </w:tc>
        <w:tc>
          <w:p>
            <w:pPr>
              <w:spacing w:before="0" w:after="0"/>
            </w:pPr>
            <w:r>
              <w:t>The query used to generate the investigation result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  <w:ind w:left="400"/>
            </w:pPr>
            <w:r>
              <w:t>A description of the investigation result</w:t>
            </w:r>
          </w:p>
        </w:tc>
      </w:tr>
    </w:tbl>
    <w:p>
      <w:pPr>
        <w:ind w:left="400"/>
      </w:pPr>
      <w:r>
        <w:t>Enter the query in string mode. The entered value is saved as-is, and quotes are applied automatically when the command runs.</w:t>
      </w:r>
    </w:p>
    <w:p>
      <w:r>
        <w:rPr>
          <w:b w:val="on"/>
        </w:rPr>
        <w:t>Output parameters</w:t>
      </w:r>
    </w:p>
    <w:p>
      <w:r>
        <w:t>The output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Name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Investigate Result GUID</w:t>
            </w:r>
          </w:p>
        </w:tc>
        <w:tc>
          <w:p>
            <w:pPr>
              <w:spacing w:before="0" w:after="0"/>
              <w:ind w:left="400"/>
            </w:pPr>
            <w:r>
              <w:t>The GUID of the created investigation result</w:t>
            </w:r>
          </w:p>
        </w:tc>
      </w:tr>
    </w:tbl>
    <w:p>
      <w:pPr>
        <w:pStyle w:val="4"/>
      </w:pPr>
      <w:r>
        <w:t>Validate file attachment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Validate File Attachment</w:t>
      </w:r>
      <w:r>
        <w:t>, this task validates the size of a file on the local file system of the server running the playbook.</w:t>
      </w:r>
    </w:p>
    <w:p>
      <w:r>
        <w:drawing>
          <wp:inline distT="0" distR="0" distB="0" distL="0">
            <wp:extent cx="5715000" cy="13919200"/>
            <wp:docPr id="8" name="Drawing 8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"/>
                    <pic:cNvPicPr>
                      <a:picLocks noChangeAspect="true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File path*</w:t>
            </w:r>
          </w:p>
        </w:tc>
        <w:tc>
          <w:p>
            <w:pPr>
              <w:spacing w:before="0" w:after="0"/>
            </w:pPr>
            <w:r>
              <w:t xml:space="preserve">File path starting with </w:t>
            </w:r>
            <w:r>
              <w:rPr>
                <w:rStyle w:val="af4"/>
              </w:rPr>
              <w:t>file://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File size (bytes)*</w:t>
            </w:r>
          </w:p>
        </w:tc>
        <w:tc>
          <w:p>
            <w:pPr>
              <w:spacing w:before="0" w:after="0"/>
              <w:ind w:left="400"/>
            </w:pPr>
            <w:r>
              <w:t>File size in bytes</w:t>
            </w:r>
          </w:p>
        </w:tc>
      </w:tr>
    </w:tbl>
    <w:p>
      <w:pPr>
        <w:ind w:left="400"/>
      </w:pPr>
      <w:r>
        <w:t>This task checks whether the file at the specified path matches the specified size.</w:t>
      </w:r>
    </w:p>
    <w:p>
      <w:pPr>
        <w:pStyle w:val="4"/>
      </w:pPr>
      <w:r>
        <w:t>Add file attachment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Add File Attachment</w:t>
      </w:r>
      <w:r>
        <w:t>, this task attaches a file to an existing ticket and returns the file's GUID, size, and name as output parameters.</w:t>
      </w:r>
    </w:p>
    <w:p>
      <w:r>
        <w:drawing>
          <wp:inline distT="0" distR="0" distB="0" distL="0">
            <wp:extent cx="5715000" cy="17068800"/>
            <wp:docPr id="9" name="Drawing 9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"/>
                    <pic:cNvPicPr>
                      <a:picLocks noChangeAspect="true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0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 to attach the file to</w:t>
            </w:r>
          </w:p>
        </w:tc>
      </w:tr>
      <w:tr>
        <w:tc>
          <w:p>
            <w:pPr>
              <w:spacing w:before="0" w:after="0"/>
            </w:pPr>
            <w:r>
              <w:t>File path*</w:t>
            </w:r>
          </w:p>
        </w:tc>
        <w:tc>
          <w:p>
            <w:pPr>
              <w:spacing w:before="0" w:after="0"/>
              <w:ind w:left="400"/>
            </w:pPr>
            <w:r>
              <w:t xml:space="preserve">File path starting with </w:t>
            </w:r>
            <w:r>
              <w:rPr>
                <w:rStyle w:val="af4"/>
              </w:rPr>
              <w:t>file://</w:t>
            </w:r>
            <w:r>
              <w:t xml:space="preserve">, </w:t>
            </w:r>
            <w:r>
              <w:rPr>
                <w:rStyle w:val="af4"/>
              </w:rPr>
              <w:t>https://</w:t>
            </w:r>
            <w:r>
              <w:t xml:space="preserve">, or </w:t>
            </w:r>
            <w:r>
              <w:rPr>
                <w:rStyle w:val="af4"/>
              </w:rPr>
              <w:t>http://</w:t>
            </w:r>
            <w:r>
              <w:t/>
            </w:r>
          </w:p>
        </w:tc>
      </w:tr>
    </w:tbl>
    <w:p>
      <w:r>
        <w:rPr>
          <w:b w:val="on"/>
        </w:rPr>
        <w:t>Output parameters</w:t>
      </w:r>
    </w:p>
    <w:p>
      <w:r>
        <w:t>The output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Name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file_guid</w:t>
            </w:r>
          </w:p>
        </w:tc>
        <w:tc>
          <w:p>
            <w:pPr>
              <w:spacing w:before="0" w:after="0"/>
            </w:pPr>
            <w:r>
              <w:t>File GUID</w:t>
            </w:r>
          </w:p>
        </w:tc>
        <w:tc>
          <w:p>
            <w:pPr>
              <w:spacing w:before="0" w:after="0"/>
            </w:pPr>
            <w:r>
              <w:t>The GUID of the attached file</w:t>
            </w:r>
          </w:p>
        </w:tc>
      </w:tr>
      <w:tr>
        <w:tc>
          <w:p>
            <w:pPr>
              <w:spacing w:before="0" w:after="0"/>
            </w:pPr>
            <w:r>
              <w:t>file_size</w:t>
            </w:r>
          </w:p>
        </w:tc>
        <w:tc>
          <w:p>
            <w:pPr>
              <w:spacing w:before="0" w:after="0"/>
            </w:pPr>
            <w:r>
              <w:t>File size</w:t>
            </w:r>
          </w:p>
        </w:tc>
        <w:tc>
          <w:p>
            <w:pPr>
              <w:spacing w:before="0" w:after="0"/>
            </w:pPr>
            <w:r>
              <w:t>Size in bytes</w:t>
            </w:r>
          </w:p>
        </w:tc>
      </w:tr>
      <w:tr>
        <w:tc>
          <w:p>
            <w:pPr>
              <w:spacing w:before="0" w:after="0"/>
            </w:pPr>
            <w:r>
              <w:t>file_name</w:t>
            </w:r>
          </w:p>
        </w:tc>
        <w:tc>
          <w:p>
            <w:pPr>
              <w:spacing w:before="0" w:after="0"/>
            </w:pPr>
            <w:r>
              <w:t>File name</w:t>
            </w:r>
          </w:p>
        </w:tc>
        <w:tc>
          <w:p>
            <w:pPr>
              <w:spacing w:before="0" w:after="0"/>
              <w:ind w:left="400"/>
            </w:pPr>
            <w:r>
              <w:t>The name of the file</w:t>
            </w:r>
          </w:p>
        </w:tc>
      </w:tr>
    </w:tbl>
    <w:p>
      <w:pPr>
        <w:pStyle w:val="4"/>
      </w:pPr>
      <w:r>
        <w:t>Update IP/MD5/URL/Domain/Email indicator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Update IP indicator</w:t>
      </w:r>
      <w:r>
        <w:t xml:space="preserve">, </w:t>
      </w:r>
      <w:r>
        <w:rPr>
          <w:b w:val="on"/>
        </w:rPr>
        <w:t>Update MD5 indicator</w:t>
      </w:r>
      <w:r>
        <w:t xml:space="preserve">, </w:t>
      </w:r>
      <w:r>
        <w:rPr>
          <w:b w:val="on"/>
        </w:rPr>
        <w:t>Update URL indicator</w:t>
      </w:r>
      <w:r>
        <w:t xml:space="preserve">, </w:t>
      </w:r>
      <w:r>
        <w:rPr>
          <w:b w:val="on"/>
        </w:rPr>
        <w:t>Update Domain indicator</w:t>
      </w:r>
      <w:r>
        <w:t xml:space="preserve">, or </w:t>
      </w:r>
      <w:r>
        <w:rPr>
          <w:b w:val="on"/>
        </w:rPr>
        <w:t>Update Email indicator</w:t>
      </w:r>
      <w:r>
        <w:t>, this task creates or updates an indicator (IP address, MD5, URL, domain, or email address).</w:t>
      </w:r>
    </w:p>
    <w:p>
      <w:r>
        <w:t>The properties panel for this command looks like the figure in the Execute section above (the Register Source IP Reputation task).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IoC resource*</w:t>
            </w:r>
          </w:p>
        </w:tc>
        <w:tc>
          <w:p>
            <w:pPr>
              <w:spacing w:before="0" w:after="0"/>
            </w:pPr>
            <w:r>
              <w:t>The type-specific identifier of the indicator (IP address, MD5, URL, domain, or email address)</w:t>
            </w:r>
          </w:p>
        </w:tc>
      </w:tr>
      <w:tr>
        <w:tc>
          <w:p>
            <w:pPr>
              <w:spacing w:before="0" w:after="0"/>
            </w:pPr>
            <w:r>
              <w:t>Reputation</w:t>
            </w:r>
          </w:p>
        </w:tc>
        <w:tc>
          <w:p>
            <w:pPr>
              <w:spacing w:before="0" w:after="0"/>
            </w:pPr>
            <w:r>
              <w:t xml:space="preserve">One of </w:t>
            </w:r>
            <w:r>
              <w:rPr>
                <w:rStyle w:val="af4"/>
              </w:rPr>
              <w:t>UNKNOWN</w:t>
            </w:r>
            <w:r>
              <w:t xml:space="preserve">, </w:t>
            </w:r>
            <w:r>
              <w:rPr>
                <w:rStyle w:val="af4"/>
              </w:rPr>
              <w:t>BENIGN</w:t>
            </w:r>
            <w:r>
              <w:t xml:space="preserve">, </w:t>
            </w:r>
            <w:r>
              <w:rPr>
                <w:rStyle w:val="af4"/>
              </w:rPr>
              <w:t>SUSPICIOUS</w:t>
            </w:r>
            <w:r>
              <w:t xml:space="preserve">, or </w:t>
            </w:r>
            <w:r>
              <w:rPr>
                <w:rStyle w:val="af4"/>
              </w:rPr>
              <w:t>MALICIOUS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Risk</w:t>
            </w:r>
          </w:p>
        </w:tc>
        <w:tc>
          <w:p>
            <w:pPr>
              <w:spacing w:before="0" w:after="0"/>
              <w:ind w:left="400"/>
            </w:pPr>
            <w:r>
              <w:t xml:space="preserve">One of </w:t>
            </w:r>
            <w:r>
              <w:rPr>
                <w:rStyle w:val="af4"/>
              </w:rPr>
              <w:t>HIGH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</w:t>
            </w:r>
            <w:r>
              <w:rPr>
                <w:rStyle w:val="af4"/>
              </w:rPr>
              <w:t>LOW</w:t>
            </w:r>
            <w:r>
              <w:t xml:space="preserve">, or </w:t>
            </w:r>
            <w:r>
              <w:rPr>
                <w:rStyle w:val="af4"/>
              </w:rPr>
              <w:t>BENIGN</w:t>
            </w:r>
            <w:r>
              <w:t/>
            </w:r>
          </w:p>
        </w:tc>
      </w:tr>
    </w:tbl>
    <w:p>
      <w:pPr>
        <w:pStyle w:val="4"/>
      </w:pPr>
      <w:r>
        <w:t>Set ticket indicent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Set Ticket Indicent</w:t>
      </w:r>
      <w:r>
        <w:t>, this task changes the incident status of a specified ticket.</w:t>
      </w:r>
    </w:p>
    <w:p>
      <w:r>
        <w:drawing>
          <wp:inline distT="0" distR="0" distB="0" distL="0">
            <wp:extent cx="5715000" cy="13919200"/>
            <wp:docPr id="10" name="Drawing 1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"/>
                    <pic:cNvPicPr>
                      <a:picLocks noChangeAspect="true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Incident*</w:t>
            </w:r>
          </w:p>
        </w:tc>
        <w:tc>
          <w:p>
            <w:pPr>
              <w:spacing w:before="0" w:after="0"/>
              <w:ind w:left="400"/>
            </w:pPr>
            <w:r>
              <w:t xml:space="preserve">The incident status: </w:t>
            </w:r>
            <w:r>
              <w:rPr>
                <w:rStyle w:val="af4"/>
              </w:rPr>
              <w:t>true</w:t>
            </w:r>
            <w:r>
              <w:t xml:space="preserve"> (incident) or </w:t>
            </w:r>
            <w:r>
              <w:rPr>
                <w:rStyle w:val="af4"/>
              </w:rPr>
              <w:t>false</w:t>
            </w:r>
            <w:r>
              <w:t xml:space="preserve"> (normal)</w:t>
            </w:r>
          </w:p>
        </w:tc>
      </w:tr>
    </w:tbl>
    <w:p>
      <w:pPr>
        <w:pStyle w:val="4"/>
      </w:pPr>
      <w:r>
        <w:t>Set ticket status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Set Ticket Status</w:t>
      </w:r>
      <w:r>
        <w:t>, this task changes the status of a ticket.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Ticket status*</w:t>
            </w:r>
          </w:p>
        </w:tc>
        <w:tc>
          <w:p>
            <w:pPr>
              <w:spacing w:before="0" w:after="0"/>
              <w:ind w:left="400"/>
            </w:pPr>
            <w:r>
              <w:t xml:space="preserve">The status of the ticket. One of </w:t>
            </w:r>
            <w:r>
              <w:rPr>
                <w:rStyle w:val="af4"/>
              </w:rPr>
              <w:t>APPROVED</w:t>
            </w:r>
            <w:r>
              <w:t xml:space="preserve">, </w:t>
            </w:r>
            <w:r>
              <w:rPr>
                <w:rStyle w:val="af4"/>
              </w:rPr>
              <w:t>SUBMITTED</w:t>
            </w:r>
            <w:r>
              <w:t xml:space="preserve">, </w:t>
            </w:r>
            <w:r>
              <w:rPr>
                <w:rStyle w:val="af4"/>
              </w:rPr>
              <w:t>REJECTED</w:t>
            </w:r>
            <w:r>
              <w:t xml:space="preserve">, or </w:t>
            </w:r>
            <w:r>
              <w:rPr>
                <w:rStyle w:val="af4"/>
              </w:rPr>
              <w:t>CLOSED</w:t>
            </w:r>
            <w:r>
              <w:t>.</w:t>
            </w:r>
          </w:p>
        </w:tc>
      </w:tr>
    </w:tbl>
    <w:p>
      <w:pPr>
        <w:pStyle w:val="4"/>
      </w:pPr>
      <w:r>
        <w:t>Create ticket</w:t>
      </w:r>
    </w:p>
    <w:p>
      <w:r>
        <w:t>Creates a new ticket and returns the ticket GUID as an output parameter.</w:t>
      </w:r>
    </w:p>
    <w:p>
      <w:r>
        <w:drawing>
          <wp:inline distT="0" distR="0" distB="0" distL="0">
            <wp:extent cx="5715000" cy="31978600"/>
            <wp:docPr id="11" name="Drawing 1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"/>
                    <pic:cNvPicPr>
                      <a:picLocks noChangeAspect="true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9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repository GUID*</w:t>
            </w:r>
          </w:p>
        </w:tc>
        <w:tc>
          <w:p>
            <w:pPr>
              <w:spacing w:before="0" w:after="0"/>
            </w:pPr>
            <w:r>
              <w:t>The GUID of the ticket repository</w:t>
            </w:r>
          </w:p>
        </w:tc>
      </w:tr>
      <w:tr>
        <w:tc>
          <w:p>
            <w:pPr>
              <w:spacing w:before="0" w:after="0"/>
            </w:pPr>
            <w:r>
              <w:t>Ticket title*</w:t>
            </w:r>
          </w:p>
        </w:tc>
        <w:tc>
          <w:p>
            <w:pPr>
              <w:spacing w:before="0" w:after="0"/>
            </w:pPr>
            <w:r>
              <w:t>The title of the ticket</w:t>
            </w:r>
          </w:p>
        </w:tc>
      </w:tr>
      <w:tr>
        <w:tc>
          <w:p>
            <w:pPr>
              <w:spacing w:before="0" w:after="0"/>
            </w:pPr>
            <w:r>
              <w:t>Source IP</w:t>
            </w:r>
          </w:p>
        </w:tc>
        <w:tc>
          <w:p>
            <w:pPr>
              <w:spacing w:before="0" w:after="0"/>
            </w:pPr>
            <w:r>
              <w:t>The source IP address of the ticket</w:t>
            </w:r>
          </w:p>
        </w:tc>
      </w:tr>
      <w:tr>
        <w:tc>
          <w:p>
            <w:pPr>
              <w:spacing w:before="0" w:after="0"/>
            </w:pPr>
            <w:r>
              <w:t>Source port</w:t>
            </w:r>
          </w:p>
        </w:tc>
        <w:tc>
          <w:p>
            <w:pPr>
              <w:spacing w:before="0" w:after="0"/>
            </w:pPr>
            <w:r>
              <w:t>The source port of the ticket</w:t>
            </w:r>
          </w:p>
        </w:tc>
      </w:tr>
      <w:tr>
        <w:tc>
          <w:p>
            <w:pPr>
              <w:spacing w:before="0" w:after="0"/>
            </w:pPr>
            <w:r>
              <w:t>Destination IP</w:t>
            </w:r>
          </w:p>
        </w:tc>
        <w:tc>
          <w:p>
            <w:pPr>
              <w:spacing w:before="0" w:after="0"/>
            </w:pPr>
            <w:r>
              <w:t>The destination IP address of the ticket</w:t>
            </w:r>
          </w:p>
        </w:tc>
      </w:tr>
      <w:tr>
        <w:tc>
          <w:p>
            <w:pPr>
              <w:spacing w:before="0" w:after="0"/>
            </w:pPr>
            <w:r>
              <w:t>Destination port</w:t>
            </w:r>
          </w:p>
        </w:tc>
        <w:tc>
          <w:p>
            <w:pPr>
              <w:spacing w:before="0" w:after="0"/>
            </w:pPr>
            <w:r>
              <w:t>The destination port of the ticket</w:t>
            </w:r>
          </w:p>
        </w:tc>
      </w:tr>
      <w:tr>
        <w:tc>
          <w:p>
            <w:pPr>
              <w:spacing w:before="0" w:after="0"/>
            </w:pPr>
            <w:r>
              <w:t>Protocol</w:t>
            </w:r>
          </w:p>
        </w:tc>
        <w:tc>
          <w:p>
            <w:pPr>
              <w:spacing w:before="0" w:after="0"/>
            </w:pPr>
            <w:r>
              <w:t>The protocol of the ticket</w:t>
            </w:r>
          </w:p>
        </w:tc>
      </w:tr>
      <w:tr>
        <w:tc>
          <w:p>
            <w:pPr>
              <w:spacing w:before="0" w:after="0"/>
            </w:pPr>
            <w:r>
              <w:t>User</w:t>
            </w:r>
          </w:p>
        </w:tc>
        <w:tc>
          <w:p>
            <w:pPr>
              <w:spacing w:before="0" w:after="0"/>
            </w:pPr>
            <w:r>
              <w:t>The user associated with the ticket</w:t>
            </w:r>
          </w:p>
        </w:tc>
      </w:tr>
      <w:tr>
        <w:tc>
          <w:p>
            <w:pPr>
              <w:spacing w:before="0" w:after="0"/>
            </w:pPr>
            <w:r>
              <w:t>Host</w:t>
            </w:r>
          </w:p>
        </w:tc>
        <w:tc>
          <w:p>
            <w:pPr>
              <w:spacing w:before="0" w:after="0"/>
            </w:pPr>
            <w:r>
              <w:t>The host associated with the ticket</w:t>
            </w:r>
          </w:p>
        </w:tc>
      </w:tr>
      <w:tr>
        <w:tc>
          <w:p>
            <w:pPr>
              <w:spacing w:before="0" w:after="0"/>
            </w:pPr>
            <w:r>
              <w:t>Mail sender</w:t>
            </w:r>
          </w:p>
        </w:tc>
        <w:tc>
          <w:p>
            <w:pPr>
              <w:spacing w:before="0" w:after="0"/>
            </w:pPr>
            <w:r>
              <w:t>The mail sender of the ticket</w:t>
            </w:r>
          </w:p>
        </w:tc>
      </w:tr>
      <w:tr>
        <w:tc>
          <w:p>
            <w:pPr>
              <w:spacing w:before="0" w:after="0"/>
            </w:pPr>
            <w:r>
              <w:t>Mail receiver</w:t>
            </w:r>
          </w:p>
        </w:tc>
        <w:tc>
          <w:p>
            <w:pPr>
              <w:spacing w:before="0" w:after="0"/>
            </w:pPr>
            <w:r>
              <w:t>The mail receiver of the ticket</w:t>
            </w:r>
          </w:p>
        </w:tc>
      </w:tr>
      <w:tr>
        <w:tc>
          <w:p>
            <w:pPr>
              <w:spacing w:before="0" w:after="0"/>
            </w:pPr>
            <w:r>
              <w:t>Mail CC</w:t>
            </w:r>
          </w:p>
        </w:tc>
        <w:tc>
          <w:p>
            <w:pPr>
              <w:spacing w:before="0" w:after="0"/>
            </w:pPr>
            <w:r>
              <w:t>The mail CC of the ticket</w:t>
            </w:r>
          </w:p>
        </w:tc>
      </w:tr>
      <w:tr>
        <w:tc>
          <w:p>
            <w:pPr>
              <w:spacing w:before="0" w:after="0"/>
            </w:pPr>
            <w:r>
              <w:t>URL</w:t>
            </w:r>
          </w:p>
        </w:tc>
        <w:tc>
          <w:p>
            <w:pPr>
              <w:spacing w:before="0" w:after="0"/>
            </w:pPr>
            <w:r>
              <w:t>The URL of the ticket</w:t>
            </w:r>
          </w:p>
        </w:tc>
      </w:tr>
      <w:tr>
        <w:tc>
          <w:p>
            <w:pPr>
              <w:spacing w:before="0" w:after="0"/>
            </w:pPr>
            <w:r>
              <w:t>MD5</w:t>
            </w:r>
          </w:p>
        </w:tc>
        <w:tc>
          <w:p>
            <w:pPr>
              <w:spacing w:before="0" w:after="0"/>
            </w:pPr>
            <w:r>
              <w:t>The MD5 of the ticket</w:t>
            </w:r>
          </w:p>
        </w:tc>
      </w:tr>
      <w:tr>
        <w:tc>
          <w:p>
            <w:pPr>
              <w:spacing w:before="0" w:after="0"/>
            </w:pPr>
            <w:r>
              <w:t>Device IP</w:t>
            </w:r>
          </w:p>
        </w:tc>
        <w:tc>
          <w:p>
            <w:pPr>
              <w:spacing w:before="0" w:after="0"/>
            </w:pPr>
            <w:r>
              <w:t>The asset IP of the ticket</w:t>
            </w:r>
          </w:p>
        </w:tc>
      </w:tr>
      <w:tr>
        <w:tc>
          <w:p>
            <w:pPr>
              <w:spacing w:before="0" w:after="0"/>
            </w:pPr>
            <w:r>
              <w:t>Device name</w:t>
            </w:r>
          </w:p>
        </w:tc>
        <w:tc>
          <w:p>
            <w:pPr>
              <w:spacing w:before="0" w:after="0"/>
            </w:pPr>
            <w:r>
              <w:t>The device name (hostname) of the asset IP</w:t>
            </w:r>
          </w:p>
        </w:tc>
      </w:tr>
      <w:tr>
        <w:tc>
          <w:p>
            <w:pPr>
              <w:spacing w:before="0" w:after="0"/>
            </w:pPr>
            <w:r>
              <w:t>Site</w:t>
            </w:r>
          </w:p>
        </w:tc>
        <w:tc>
          <w:p>
            <w:pPr>
              <w:spacing w:before="0" w:after="0"/>
            </w:pPr>
            <w:r>
              <w:t>The site of the ticket</w:t>
            </w:r>
          </w:p>
        </w:tc>
      </w:tr>
      <w:tr>
        <w:tc>
          <w:p>
            <w:pPr>
              <w:spacing w:before="0" w:after="0"/>
            </w:pPr>
            <w:r>
              <w:t>Priority</w:t>
            </w:r>
          </w:p>
        </w:tc>
        <w:tc>
          <w:p>
            <w:pPr>
              <w:spacing w:before="0" w:after="0"/>
              <w:ind w:left="400"/>
            </w:pPr>
            <w:r>
              <w:t xml:space="preserve">One of </w:t>
            </w: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or </w:t>
            </w:r>
            <w:r>
              <w:rPr>
                <w:rStyle w:val="af4"/>
              </w:rPr>
              <w:t>HIGH</w:t>
            </w:r>
            <w:r>
              <w:t xml:space="preserve">. Defaults to </w:t>
            </w:r>
            <w:r>
              <w:rPr>
                <w:rStyle w:val="af4"/>
              </w:rPr>
              <w:t>LOW</w:t>
            </w:r>
            <w:r>
              <w:t xml:space="preserve"> if not specified.</w:t>
            </w:r>
          </w:p>
        </w:tc>
      </w:tr>
    </w:tbl>
    <w:p>
      <w:r>
        <w:rPr>
          <w:b w:val="on"/>
        </w:rPr>
        <w:t>Output parameters</w:t>
      </w:r>
    </w:p>
    <w:p>
      <w:r>
        <w:t>The output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Name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ticket_guid</w:t>
            </w:r>
          </w:p>
        </w:tc>
        <w:tc>
          <w:p>
            <w:pPr>
              <w:spacing w:before="0" w:after="0"/>
            </w:pPr>
            <w:r>
              <w:t>Ticket GUID</w:t>
            </w:r>
          </w:p>
        </w:tc>
        <w:tc>
          <w:p>
            <w:pPr>
              <w:spacing w:before="0" w:after="0"/>
              <w:ind w:left="400"/>
            </w:pPr>
            <w:r>
              <w:t>The GUID of the created ticket</w:t>
            </w:r>
          </w:p>
        </w:tc>
      </w:tr>
    </w:tbl>
    <w:p>
      <w:pPr>
        <w:pStyle w:val="4"/>
      </w:pPr>
      <w:r>
        <w:t>Set ticket attack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Set Ticket Attack</w:t>
      </w:r>
      <w:r>
        <w:t>, this task changes the true/false positive status of an existing ticket.</w:t>
      </w:r>
    </w:p>
    <w:p>
      <w:r>
        <w:drawing>
          <wp:inline distT="0" distR="0" distB="0" distL="0">
            <wp:extent cx="5715000" cy="13919200"/>
            <wp:docPr id="12" name="Drawing 1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"/>
                    <pic:cNvPicPr>
                      <a:picLocks noChangeAspect="true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Attack*</w:t>
            </w:r>
          </w:p>
        </w:tc>
        <w:tc>
          <w:p>
            <w:pPr>
              <w:spacing w:before="0" w:after="0"/>
              <w:ind w:left="400"/>
            </w:pPr>
            <w:r>
              <w:t xml:space="preserve">The true/false positive status: </w:t>
            </w:r>
            <w:r>
              <w:rPr>
                <w:rStyle w:val="af4"/>
              </w:rPr>
              <w:t>true</w:t>
            </w:r>
            <w:r>
              <w:t xml:space="preserve"> (true positive) or </w:t>
            </w:r>
            <w:r>
              <w:rPr>
                <w:rStyle w:val="af4"/>
              </w:rPr>
              <w:t>false</w:t>
            </w:r>
            <w:r>
              <w:t xml:space="preserve"> (false positive)</w:t>
            </w:r>
          </w:p>
        </w:tc>
      </w:tr>
    </w:tbl>
    <w:p>
      <w:pPr>
        <w:pStyle w:val="4"/>
      </w:pPr>
      <w:r>
        <w:t>Set ticket priority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Set Ticket Priority</w:t>
      </w:r>
      <w:r>
        <w:t>, this task changes the priority of an existing ticket.</w:t>
      </w:r>
    </w:p>
    <w:p>
      <w:r>
        <w:drawing>
          <wp:inline distT="0" distR="0" distB="0" distL="0">
            <wp:extent cx="5715000" cy="13919200"/>
            <wp:docPr id="13" name="Drawing 1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"/>
                    <pic:cNvPicPr>
                      <a:picLocks noChangeAspect="true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Priority*</w:t>
            </w:r>
          </w:p>
        </w:tc>
        <w:tc>
          <w:p>
            <w:pPr>
              <w:spacing w:before="0" w:after="0"/>
              <w:ind w:left="400"/>
            </w:pPr>
            <w:r>
              <w:t xml:space="preserve">One of </w:t>
            </w:r>
            <w:r>
              <w:rPr>
                <w:rStyle w:val="af4"/>
              </w:rPr>
              <w:t>LOW</w:t>
            </w:r>
            <w:r>
              <w:t xml:space="preserve">, </w:t>
            </w:r>
            <w:r>
              <w:rPr>
                <w:rStyle w:val="af4"/>
              </w:rPr>
              <w:t>MEDIUM</w:t>
            </w:r>
            <w:r>
              <w:t xml:space="preserve">, or </w:t>
            </w:r>
            <w:r>
              <w:rPr>
                <w:rStyle w:val="af4"/>
              </w:rPr>
              <w:t>HIGH</w:t>
            </w:r>
            <w:r>
              <w:t/>
            </w:r>
          </w:p>
        </w:tc>
      </w:tr>
    </w:tbl>
    <w:p>
      <w:pPr>
        <w:pStyle w:val="4"/>
      </w:pPr>
      <w:r>
        <w:t>Add ticket comment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Add Ticket Comment</w:t>
      </w:r>
      <w:r>
        <w:t>, this task adds a comment to a ticket.</w:t>
      </w:r>
    </w:p>
    <w:p>
      <w:r>
        <w:drawing>
          <wp:inline distT="0" distR="0" distB="0" distL="0">
            <wp:extent cx="5715000" cy="15240000"/>
            <wp:docPr id="14" name="Drawing 1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"/>
                    <pic:cNvPicPr>
                      <a:picLocks noChangeAspect="true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Format</w:t>
            </w:r>
          </w:p>
        </w:tc>
        <w:tc>
          <w:p>
            <w:pPr>
              <w:spacing w:before="0" w:after="0"/>
            </w:pPr>
            <w:r>
              <w:t xml:space="preserve">One of </w:t>
            </w:r>
            <w:r>
              <w:rPr>
                <w:rStyle w:val="af4"/>
              </w:rPr>
              <w:t>PLAIN</w:t>
            </w:r>
            <w:r>
              <w:t xml:space="preserve">, </w:t>
            </w:r>
            <w:r>
              <w:rPr>
                <w:rStyle w:val="af4"/>
              </w:rPr>
              <w:t>JSON</w:t>
            </w:r>
            <w:r>
              <w:t xml:space="preserve">, or </w:t>
            </w:r>
            <w:r>
              <w:rPr>
                <w:rStyle w:val="af4"/>
              </w:rPr>
              <w:t>MARKDOWN</w:t>
            </w:r>
            <w:r>
              <w:t xml:space="preserve">. Defaults to </w:t>
            </w:r>
            <w:r>
              <w:rPr>
                <w:rStyle w:val="af4"/>
              </w:rPr>
              <w:t>MARKDOWN</w:t>
            </w:r>
            <w:r>
              <w:t xml:space="preserve"> if not specified.</w:t>
            </w:r>
          </w:p>
        </w:tc>
      </w:tr>
      <w:tr>
        <w:tc>
          <w:p>
            <w:pPr>
              <w:spacing w:before="0" w:after="0"/>
            </w:pPr>
            <w:r>
              <w:t>Comment content*</w:t>
            </w:r>
          </w:p>
        </w:tc>
        <w:tc>
          <w:p>
            <w:pPr>
              <w:spacing w:before="0" w:after="0"/>
              <w:ind w:left="400"/>
            </w:pPr>
            <w:r>
              <w:t>The comment text</w:t>
            </w:r>
          </w:p>
        </w:tc>
      </w:tr>
    </w:tbl>
    <w:p>
      <w:pPr>
        <w:pStyle w:val="4"/>
      </w:pPr>
      <w:r>
        <w:t>Set ticket tags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Set Ticket Tags</w:t>
      </w:r>
      <w:r>
        <w:t>, this task sets tags on a ticket.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Tag GUID*</w:t>
            </w:r>
          </w:p>
        </w:tc>
        <w:tc>
          <w:p>
            <w:pPr>
              <w:spacing w:before="0" w:after="0"/>
              <w:ind w:left="400"/>
            </w:pPr>
            <w:r>
              <w:t>A comma-separated list of tag GUIDs</w:t>
            </w:r>
          </w:p>
        </w:tc>
      </w:tr>
    </w:tbl>
    <w:p>
      <w:pPr>
        <w:ind w:left="400"/>
      </w:pPr>
      <w:r>
        <w:t xml:space="preserve">When entering multiple tag GUIDs, separate them with commas without spaces after the comma (e.g., </w:t>
      </w:r>
      <w:r>
        <w:rPr>
          <w:rStyle w:val="af4"/>
        </w:rPr>
        <w:t>339ee35f-91c0-4eb9-a04e-9d614d295546,cc70f5cf-d9ad-4d6e-8e6d-17297904cea9</w:t>
      </w:r>
      <w:r>
        <w:t>).</w:t>
      </w:r>
    </w:p>
    <w:p>
      <w:pPr>
        <w:pStyle w:val="af1"/>
      </w:pPr>
      <w:r>
        <w:t>Running the Set Ticket Tags command removes all existing tags from the ticket and applies the new tags.</w:t>
      </w:r>
    </w:p>
    <w:p>
      <w:pPr>
        <w:pStyle w:val="4"/>
      </w:pPr>
      <w:r>
        <w:t>Add ticket tags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Add Ticket Tags</w:t>
      </w:r>
      <w:r>
        <w:t>, this task adds tags to a ticket.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Tag GUID*</w:t>
            </w:r>
          </w:p>
        </w:tc>
        <w:tc>
          <w:p>
            <w:pPr>
              <w:spacing w:before="0" w:after="0"/>
              <w:ind w:left="400"/>
            </w:pPr>
            <w:r>
              <w:t>A comma-separated list of tag GUIDs</w:t>
            </w:r>
          </w:p>
        </w:tc>
      </w:tr>
    </w:tbl>
    <w:p>
      <w:pPr>
        <w:ind w:left="400"/>
      </w:pPr>
      <w:r>
        <w:t xml:space="preserve">When entering multiple tag GUIDs, separate them with commas without spaces after the comma (e.g., </w:t>
      </w:r>
      <w:r>
        <w:rPr>
          <w:rStyle w:val="af4"/>
        </w:rPr>
        <w:t>339ee35f-91c0-4eb9-a04e-9d614d295546,cc70f5cf-d9ad-4d6e-8e6d-17297904cea9</w:t>
      </w:r>
      <w:r>
        <w:t>).</w:t>
      </w:r>
    </w:p>
    <w:p>
      <w:pPr>
        <w:pStyle w:val="af1"/>
      </w:pPr>
      <w:r>
        <w:t>Running the Add Ticket Tags command keeps any existing tags and adds the new tags, excluding duplicates.</w:t>
      </w:r>
    </w:p>
    <w:p>
      <w:pPr>
        <w:pStyle w:val="4"/>
      </w:pPr>
      <w:r>
        <w:t>Set ticket assignee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Set Ticket Assignee</w:t>
      </w:r>
      <w:r>
        <w:t>, this task sets the assignee and approver of a ticket.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Ticket GUID*</w:t>
            </w:r>
          </w:p>
        </w:tc>
        <w:tc>
          <w:p>
            <w:pPr>
              <w:spacing w:before="0" w:after="0"/>
            </w:pPr>
            <w:r>
              <w:t>The GUID of the ticket</w:t>
            </w:r>
          </w:p>
        </w:tc>
      </w:tr>
      <w:tr>
        <w:tc>
          <w:p>
            <w:pPr>
              <w:spacing w:before="0" w:after="0"/>
            </w:pPr>
            <w:r>
              <w:t>User GUID*</w:t>
            </w:r>
          </w:p>
        </w:tc>
        <w:tc>
          <w:p>
            <w:pPr>
              <w:spacing w:before="0" w:after="0"/>
            </w:pPr>
            <w:r>
              <w:t>The account GUID. Accepts array input.</w:t>
            </w:r>
          </w:p>
        </w:tc>
      </w:tr>
      <w:tr>
        <w:tc>
          <w:p>
            <w:pPr>
              <w:spacing w:before="0" w:after="0"/>
            </w:pPr>
            <w:r>
              <w:t>Ticket Assign Type*</w:t>
            </w:r>
          </w:p>
        </w:tc>
        <w:tc>
          <w:p>
            <w:pPr>
              <w:spacing w:before="0" w:after="0"/>
              <w:ind w:left="400"/>
            </w:pPr>
            <w:r>
              <w:rPr>
                <w:rStyle w:val="af4"/>
              </w:rPr>
              <w:t>APPROVER</w:t>
            </w:r>
            <w:r>
              <w:t xml:space="preserve"> or </w:t>
            </w:r>
            <w:r>
              <w:rPr>
                <w:rStyle w:val="af4"/>
              </w:rPr>
              <w:t>ASSIGNEE</w:t>
            </w:r>
            <w:r>
              <w:t/>
            </w:r>
          </w:p>
        </w:tc>
      </w:tr>
    </w:tbl>
    <w:p>
      <w:pPr>
        <w:pStyle w:val="4"/>
      </w:pPr>
      <w:r>
        <w:t>Add pattern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Add pattern</w:t>
      </w:r>
      <w:r>
        <w:t>, this task adds a pattern to a pattern group.</w:t>
      </w:r>
    </w:p>
    <w:p>
      <w:r>
        <w:drawing>
          <wp:inline distT="0" distR="0" distB="0" distL="0">
            <wp:extent cx="5715000" cy="15240000"/>
            <wp:docPr id="15" name="Drawing 1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"/>
                    <pic:cNvPicPr>
                      <a:picLocks noChangeAspect="true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group*</w:t>
            </w:r>
          </w:p>
        </w:tc>
        <w:tc>
          <w:p>
            <w:pPr>
              <w:spacing w:before="0" w:after="0"/>
            </w:pPr>
            <w:r>
              <w:t>The GUID of the pattern group</w:t>
            </w:r>
          </w:p>
        </w:tc>
      </w:tr>
      <w:tr>
        <w:tc>
          <w:p>
            <w:pPr>
              <w:spacing w:before="0" w:after="0"/>
            </w:pPr>
            <w:r>
              <w:t>expr*</w:t>
            </w:r>
          </w:p>
        </w:tc>
        <w:tc>
          <w:p>
            <w:pPr>
              <w:spacing w:before="0" w:after="0"/>
            </w:pPr>
            <w:r>
              <w:t>The pattern string</w:t>
            </w:r>
          </w:p>
        </w:tc>
      </w:tr>
      <w:tr>
        <w:tc>
          <w:p>
            <w:pPr>
              <w:spacing w:before="0" w:after="0"/>
            </w:pPr>
            <w:r>
              <w:t>rule</w:t>
            </w:r>
          </w:p>
        </w:tc>
        <w:tc>
          <w:p>
            <w:pPr>
              <w:spacing w:before="0" w:after="0"/>
              <w:ind w:left="400"/>
            </w:pPr>
            <w:r>
              <w:t>The name of the pattern rule</w:t>
            </w:r>
          </w:p>
        </w:tc>
      </w:tr>
    </w:tbl>
    <w:p>
      <w:pPr>
        <w:pStyle w:val="4"/>
      </w:pPr>
      <w:r>
        <w:t>Send report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Send report</w:t>
      </w:r>
      <w:r>
        <w:t>, this task generates a report for a specified date range using a report template and sends it by email.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Template GUID*</w:t>
            </w:r>
          </w:p>
        </w:tc>
        <w:tc>
          <w:p>
            <w:pPr>
              <w:spacing w:before="0" w:after="0"/>
            </w:pPr>
            <w:r>
              <w:t>The GUID of the report template</w:t>
            </w:r>
          </w:p>
        </w:tc>
      </w:tr>
      <w:tr>
        <w:tc>
          <w:p>
            <w:pPr>
              <w:spacing w:before="0" w:after="0"/>
            </w:pPr>
            <w:r>
              <w:t>File format*</w:t>
            </w:r>
          </w:p>
        </w:tc>
        <w:tc>
          <w:p>
            <w:pPr>
              <w:spacing w:before="0" w:after="0"/>
            </w:pPr>
            <w:r>
              <w:t xml:space="preserve">Report file format: one of </w:t>
            </w:r>
            <w:r>
              <w:rPr>
                <w:rStyle w:val="af4"/>
              </w:rPr>
              <w:t>docx</w:t>
            </w:r>
            <w:r>
              <w:t xml:space="preserve">, </w:t>
            </w:r>
            <w:r>
              <w:rPr>
                <w:rStyle w:val="af4"/>
              </w:rPr>
              <w:t>html</w:t>
            </w:r>
            <w:r>
              <w:t xml:space="preserve">, </w:t>
            </w:r>
            <w:r>
              <w:rPr>
                <w:rStyle w:val="af4"/>
              </w:rPr>
              <w:t>pdf</w:t>
            </w:r>
            <w:r>
              <w:t xml:space="preserve">, or </w:t>
            </w:r>
            <w:r>
              <w:rPr>
                <w:rStyle w:val="af4"/>
              </w:rPr>
              <w:t>hwpx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From*</w:t>
            </w:r>
          </w:p>
        </w:tc>
        <w:tc>
          <w:p>
            <w:pPr>
              <w:spacing w:before="0" w:after="0"/>
            </w:pPr>
            <w:r>
              <w:t xml:space="preserve">Start of the reporting period in </w:t>
            </w:r>
            <w:r>
              <w:rPr>
                <w:rStyle w:val="af4"/>
              </w:rPr>
              <w:t>yyyyMMddHHmmss</w:t>
            </w:r>
            <w:r>
              <w:t xml:space="preserve"> format</w:t>
            </w:r>
          </w:p>
        </w:tc>
      </w:tr>
      <w:tr>
        <w:tc>
          <w:p>
            <w:pPr>
              <w:spacing w:before="0" w:after="0"/>
            </w:pPr>
            <w:r>
              <w:t>To*</w:t>
            </w:r>
          </w:p>
        </w:tc>
        <w:tc>
          <w:p>
            <w:pPr>
              <w:spacing w:before="0" w:after="0"/>
            </w:pPr>
            <w:r>
              <w:t xml:space="preserve">End of the reporting period in </w:t>
            </w:r>
            <w:r>
              <w:rPr>
                <w:rStyle w:val="af4"/>
              </w:rPr>
              <w:t>yyyyMMddHHmmss</w:t>
            </w:r>
            <w:r>
              <w:t xml:space="preserve"> format</w:t>
            </w:r>
          </w:p>
        </w:tc>
      </w:tr>
      <w:tr>
        <w:tc>
          <w:p>
            <w:pPr>
              <w:spacing w:before="0" w:after="0"/>
            </w:pPr>
            <w:r>
              <w:t>Recipient*</w:t>
            </w:r>
          </w:p>
        </w:tc>
        <w:tc>
          <w:p>
            <w:pPr>
              <w:spacing w:before="0" w:after="0"/>
              <w:ind w:left="400"/>
            </w:pPr>
            <w:r>
              <w:t>The email address to send the report to</w:t>
            </w:r>
          </w:p>
        </w:tc>
      </w:tr>
    </w:tbl>
    <w:p>
      <w:pPr>
        <w:pStyle w:val="af1"/>
      </w:pPr>
      <w:r>
        <w:t>To receive emails at the specified address, configure the SMTP server for sending mail under Settings &gt; Mail Server.</w:t>
      </w:r>
    </w:p>
    <w:p>
      <w:pPr>
        <w:pStyle w:val="4"/>
      </w:pPr>
      <w:r>
        <w:t>Export report</w:t>
      </w:r>
    </w:p>
    <w:p>
      <w:r>
        <w:t xml:space="preserve">When the </w:t>
      </w:r>
      <w:r>
        <w:rPr>
          <w:b w:val="on"/>
        </w:rPr>
        <w:t>Command</w:t>
      </w:r>
      <w:r>
        <w:t xml:space="preserve"> is </w:t>
      </w:r>
      <w:r>
        <w:rPr>
          <w:b w:val="on"/>
        </w:rPr>
        <w:t>Export report</w:t>
      </w:r>
      <w:r>
        <w:t>, this task generates a report for a specified date range using a report template and saves it.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Template GUID*</w:t>
            </w:r>
          </w:p>
        </w:tc>
        <w:tc>
          <w:p>
            <w:pPr>
              <w:spacing w:before="0" w:after="0"/>
            </w:pPr>
            <w:r>
              <w:t>The GUID of the report template</w:t>
            </w:r>
          </w:p>
        </w:tc>
      </w:tr>
      <w:tr>
        <w:tc>
          <w:p>
            <w:pPr>
              <w:spacing w:before="0" w:after="0"/>
            </w:pPr>
            <w:r>
              <w:t>File format*</w:t>
            </w:r>
          </w:p>
        </w:tc>
        <w:tc>
          <w:p>
            <w:pPr>
              <w:spacing w:before="0" w:after="0"/>
            </w:pPr>
            <w:r>
              <w:t xml:space="preserve">Report file format: one of </w:t>
            </w:r>
            <w:r>
              <w:rPr>
                <w:rStyle w:val="af4"/>
              </w:rPr>
              <w:t>docx</w:t>
            </w:r>
            <w:r>
              <w:t xml:space="preserve">, </w:t>
            </w:r>
            <w:r>
              <w:rPr>
                <w:rStyle w:val="af4"/>
              </w:rPr>
              <w:t>html</w:t>
            </w:r>
            <w:r>
              <w:t xml:space="preserve">, </w:t>
            </w:r>
            <w:r>
              <w:rPr>
                <w:rStyle w:val="af4"/>
              </w:rPr>
              <w:t>pdf</w:t>
            </w:r>
            <w:r>
              <w:t xml:space="preserve">, or </w:t>
            </w:r>
            <w:r>
              <w:rPr>
                <w:rStyle w:val="af4"/>
              </w:rPr>
              <w:t>hwpx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From*</w:t>
            </w:r>
          </w:p>
        </w:tc>
        <w:tc>
          <w:p>
            <w:pPr>
              <w:spacing w:before="0" w:after="0"/>
            </w:pPr>
            <w:r>
              <w:t xml:space="preserve">Start of the reporting period in </w:t>
            </w:r>
            <w:r>
              <w:rPr>
                <w:rStyle w:val="af4"/>
              </w:rPr>
              <w:t>yyyyMMddHHmmss</w:t>
            </w:r>
            <w:r>
              <w:t xml:space="preserve"> format</w:t>
            </w:r>
          </w:p>
        </w:tc>
      </w:tr>
      <w:tr>
        <w:tc>
          <w:p>
            <w:pPr>
              <w:spacing w:before="0" w:after="0"/>
            </w:pPr>
            <w:r>
              <w:t>To*</w:t>
            </w:r>
          </w:p>
        </w:tc>
        <w:tc>
          <w:p>
            <w:pPr>
              <w:spacing w:before="0" w:after="0"/>
            </w:pPr>
            <w:r>
              <w:t xml:space="preserve">End of the reporting period in </w:t>
            </w:r>
            <w:r>
              <w:rPr>
                <w:rStyle w:val="af4"/>
              </w:rPr>
              <w:t>yyyyMMddHHmmss</w:t>
            </w:r>
            <w:r>
              <w:t xml:space="preserve"> format</w:t>
            </w:r>
          </w:p>
        </w:tc>
      </w:tr>
      <w:tr>
        <w:tc>
          <w:p>
            <w:pPr>
              <w:spacing w:before="0" w:after="0"/>
            </w:pPr>
            <w:r>
              <w:t>Path*</w:t>
            </w:r>
          </w:p>
        </w:tc>
        <w:tc>
          <w:p>
            <w:pPr>
              <w:spacing w:before="0" w:after="0"/>
              <w:ind w:left="400"/>
            </w:pPr>
            <w:r>
              <w:t xml:space="preserve">The path to save the generated file (e.g., </w:t>
            </w:r>
            <w:r>
              <w:rPr>
                <w:rStyle w:val="af4"/>
              </w:rPr>
              <w:t>/opt/logpresso/report.pdf</w:t>
            </w:r>
            <w:r>
              <w:t>)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https://docs.logpresso.comnull" TargetMode="External" Type="http://schemas.openxmlformats.org/officeDocument/2006/relationships/hyperlink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https://docs.logpresso.comnull" TargetMode="External" Type="http://schemas.openxmlformats.org/officeDocument/2006/relationships/hyperlink"/><Relationship Id="rId21" Target="https://docs.logpresso.comnull" TargetMode="External" Type="http://schemas.openxmlformats.org/officeDocument/2006/relationships/hyperlink"/><Relationship Id="rId22" Target="https://docs.logpresso.comnull" TargetMode="External" Type="http://schemas.openxmlformats.org/officeDocument/2006/relationships/hyperlink"/><Relationship Id="rId23" Target="https://docs.logpresso.comnull" TargetMode="External" Type="http://schemas.openxmlformats.org/officeDocument/2006/relationships/hyperlink"/><Relationship Id="rId24" Target="https://docs.logpresso.comnull" TargetMode="External" Type="http://schemas.openxmlformats.org/officeDocument/2006/relationships/hyperlink"/><Relationship Id="rId25" Target="https://docs.logpresso.comnull" TargetMode="External" Type="http://schemas.openxmlformats.org/officeDocument/2006/relationships/hyperlink"/><Relationship Id="rId26" Target="https://docs.logpresso.comnull" TargetMode="External" Type="http://schemas.openxmlformats.org/officeDocument/2006/relationships/hyperlink"/><Relationship Id="rId27" Target="https://docs.logpresso.comnull" TargetMode="External" Type="http://schemas.openxmlformats.org/officeDocument/2006/relationships/hyperlink"/><Relationship Id="rId28" Target="https://docs.logpresso.comnull" TargetMode="External" Type="http://schemas.openxmlformats.org/officeDocument/2006/relationships/hyperlink"/><Relationship Id="rId29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30" Target="https://docs.logpresso.comnull" TargetMode="External" Type="http://schemas.openxmlformats.org/officeDocument/2006/relationships/hyperlink"/><Relationship Id="rId31" Target="https://docs.logpresso.comnull" TargetMode="External" Type="http://schemas.openxmlformats.org/officeDocument/2006/relationships/hyperlink"/><Relationship Id="rId32" Target="https://docs.logpresso.comnull" TargetMode="External" Type="http://schemas.openxmlformats.org/officeDocument/2006/relationships/hyperlink"/><Relationship Id="rId33" Target="https://docs.logpresso.comnull" TargetMode="External" Type="http://schemas.openxmlformats.org/officeDocument/2006/relationships/hyperlink"/><Relationship Id="rId34" Target="https://docs.logpresso.comnull" TargetMode="External" Type="http://schemas.openxmlformats.org/officeDocument/2006/relationships/hyperlink"/><Relationship Id="rId35" Target="https://docs.logpresso.comnull" TargetMode="External" Type="http://schemas.openxmlformats.org/officeDocument/2006/relationships/hyperlink"/><Relationship Id="rId36" Target="https://docs.logpresso.comnull" TargetMode="External" Type="http://schemas.openxmlformats.org/officeDocument/2006/relationships/hyperlink"/><Relationship Id="rId37" Target="media/image2.png" Type="http://schemas.openxmlformats.org/officeDocument/2006/relationships/image"/><Relationship Id="rId38" Target="media/image3.png" Type="http://schemas.openxmlformats.org/officeDocument/2006/relationships/image"/><Relationship Id="rId39" Target="media/image4.png" Type="http://schemas.openxmlformats.org/officeDocument/2006/relationships/image"/><Relationship Id="rId4" Target="settings.xml" Type="http://schemas.openxmlformats.org/officeDocument/2006/relationships/settings"/><Relationship Id="rId40" Target="media/image5.png" Type="http://schemas.openxmlformats.org/officeDocument/2006/relationships/image"/><Relationship Id="rId41" Target="media/image6.png" Type="http://schemas.openxmlformats.org/officeDocument/2006/relationships/image"/><Relationship Id="rId42" Target="media/image7.png" Type="http://schemas.openxmlformats.org/officeDocument/2006/relationships/image"/><Relationship Id="rId43" Target="media/image8.png" Type="http://schemas.openxmlformats.org/officeDocument/2006/relationships/image"/><Relationship Id="rId44" Target="media/image9.png" Type="http://schemas.openxmlformats.org/officeDocument/2006/relationships/image"/><Relationship Id="rId45" Target="media/image10.png" Type="http://schemas.openxmlformats.org/officeDocument/2006/relationships/image"/><Relationship Id="rId46" Target="media/image11.png" Type="http://schemas.openxmlformats.org/officeDocument/2006/relationships/image"/><Relationship Id="rId47" Target="media/image12.png" Type="http://schemas.openxmlformats.org/officeDocument/2006/relationships/image"/><Relationship Id="rId48" Target="media/image13.png" Type="http://schemas.openxmlformats.org/officeDocument/2006/relationships/image"/><Relationship Id="rId49" Target="media/image14.png" Type="http://schemas.openxmlformats.org/officeDocument/2006/relationships/image"/><Relationship Id="rId5" Target="webSettings.xml" Type="http://schemas.openxmlformats.org/officeDocument/2006/relationships/webSettings"/><Relationship Id="rId50" Target="media/image15.png" Type="http://schemas.openxmlformats.org/officeDocument/2006/relationships/image"/><Relationship Id="rId51" Target="media/image16.png" Type="http://schemas.openxmlformats.org/officeDocument/2006/relationships/imag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