
<file path=[Content_Types].xml><?xml version="1.0" encoding="utf-8"?>
<Types xmlns="http://schemas.openxmlformats.org/package/2006/content-types"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Task properties</w:t>
      </w:r>
    </w:p>
    <w:p>
      <w:pPr>
        <w:pStyle w:val="4"/>
      </w:pPr>
      <w:r>
        <w:t>Common properties</w:t>
      </w:r>
    </w:p>
    <w:p>
      <w:r>
        <w:t xml:space="preserve">Every task has the following properties. All task properties can be viewed and changed in the </w:t>
      </w:r>
      <w:hyperlink r:id="rId10">
        <w:r>
          <w:rPr>
            <w:rStyle w:val="a6"/>
          </w:rPr>
          <w:t>properties panel</w:t>
        </w:r>
      </w:hyperlink>
      <w:r>
        <w:t>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Property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Name</w:t>
            </w:r>
          </w:p>
        </w:tc>
        <w:tc>
          <w:p>
            <w:pPr>
              <w:spacing w:before="0" w:after="0"/>
            </w:pPr>
            <w:r>
              <w:t>The name of the task shown in the flowchart</w:t>
            </w:r>
          </w:p>
        </w:tc>
      </w:tr>
      <w:tr>
        <w:tc>
          <w:p>
            <w:pPr>
              <w:spacing w:before="0" w:after="0"/>
            </w:pPr>
            <w:r>
              <w:t>Description</w:t>
            </w:r>
          </w:p>
        </w:tc>
        <w:tc>
          <w:p>
            <w:pPr>
              <w:spacing w:before="0" w:after="0"/>
            </w:pPr>
            <w:r>
              <w:t>A description of the task</w:t>
            </w:r>
          </w:p>
        </w:tc>
      </w:tr>
      <w:tr>
        <w:tc>
          <w:p>
            <w:pPr>
              <w:spacing w:before="0" w:after="0"/>
            </w:pPr>
            <w:r>
              <w:t>Task type</w:t>
            </w:r>
          </w:p>
        </w:tc>
        <w:tc>
          <w:p>
            <w:pPr>
              <w:spacing w:before="0" w:after="0"/>
            </w:pPr>
            <w:r>
              <w:t>The type that categorizes the task by the function it performs</w:t>
            </w:r>
          </w:p>
        </w:tc>
      </w:tr>
      <w:tr>
        <w:tc>
          <w:p>
            <w:pPr>
              <w:spacing w:before="0" w:after="0"/>
            </w:pPr>
            <w:r>
              <w:t>Command</w:t>
            </w:r>
          </w:p>
        </w:tc>
        <w:tc>
          <w:p>
            <w:pPr>
              <w:spacing w:before="0" w:after="0"/>
            </w:pPr>
            <w:r>
              <w:t>The command the task executes. Most tasks execute a single command. Varies by task type.</w:t>
            </w:r>
          </w:p>
        </w:tc>
      </w:tr>
      <w:tr>
        <w:tc>
          <w:p>
            <w:pPr>
              <w:spacing w:before="0" w:after="0"/>
            </w:pPr>
            <w:r>
              <w:t>Command Group</w:t>
            </w:r>
          </w:p>
        </w:tc>
        <w:tc>
          <w:p>
            <w:pPr>
              <w:spacing w:before="0" w:after="0"/>
            </w:pPr>
            <w:r>
              <w:t xml:space="preserve">(When task type is </w:t>
            </w:r>
            <w:hyperlink r:id="rId11">
              <w:r>
                <w:rPr>
                  <w:rStyle w:val="a6"/>
                </w:rPr>
                <w:t>Execute</w:t>
              </w:r>
            </w:hyperlink>
            <w:r>
              <w:t>) The list of available commands</w:t>
            </w:r>
          </w:p>
        </w:tc>
      </w:tr>
      <w:tr>
        <w:tc>
          <w:p>
            <w:pPr>
              <w:spacing w:before="0" w:after="0"/>
            </w:pPr>
            <w:r>
              <w:t>Playbook</w:t>
            </w:r>
          </w:p>
        </w:tc>
        <w:tc>
          <w:p>
            <w:pPr>
              <w:spacing w:before="0" w:after="0"/>
            </w:pPr>
            <w:r>
              <w:t xml:space="preserve">(When task type is </w:t>
            </w:r>
            <w:hyperlink r:id="rId12">
              <w:r>
                <w:rPr>
                  <w:rStyle w:val="a6"/>
                </w:rPr>
                <w:t>Call playbook</w:t>
              </w:r>
            </w:hyperlink>
            <w:r>
              <w:t>) The sub-playbook to execute</w:t>
            </w:r>
          </w:p>
        </w:tc>
      </w:tr>
      <w:tr>
        <w:tc>
          <w:p>
            <w:pPr>
              <w:spacing w:before="0" w:after="0"/>
            </w:pPr>
            <w:r>
              <w:t>Advance Settings</w:t>
            </w:r>
          </w:p>
        </w:tc>
        <w:tc>
          <w:p>
            <w:pPr>
              <w:spacing w:before="0" w:after="0"/>
            </w:pPr>
            <w:r>
              <w:t>Timeout, retry interval, retry count, and action on task failure (not available for Call playbook tasks)</w:t>
            </w:r>
          </w:p>
        </w:tc>
      </w:tr>
      <w:tr>
        <w:tc>
          <w:p>
            <w:pPr>
              <w:spacing w:before="0" w:after="0"/>
            </w:pPr>
            <w:r>
              <w:t>Input parameters</w:t>
            </w:r>
          </w:p>
        </w:tc>
        <w:tc>
          <w:p>
            <w:pPr>
              <w:spacing w:before="0" w:after="0"/>
            </w:pPr>
            <w:r>
              <w:t>Local parameters that receive values from a preceding task or the playbook's input parameters. Varies by task type.</w:t>
            </w:r>
          </w:p>
        </w:tc>
      </w:tr>
      <w:tr>
        <w:tc>
          <w:p>
            <w:pPr>
              <w:spacing w:before="0" w:after="0"/>
            </w:pPr>
            <w:r>
              <w:t>Output parameters</w:t>
            </w:r>
          </w:p>
        </w:tc>
        <w:tc>
          <w:p>
            <w:pPr>
              <w:spacing w:before="0" w:after="0"/>
            </w:pPr>
            <w:r>
              <w:t>Output variables to assign values that are passed to the following task. Varies by task type.</w:t>
            </w:r>
          </w:p>
        </w:tc>
      </w:tr>
    </w:tbl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Command Group</w:t>
      </w:r>
      <w:r>
        <w:t xml:space="preserve"> is divided into the default command group and command groups provided by apps.</w:t>
      </w:r>
    </w:p>
    <w:p>
      <w:pPr>
        <w:numPr>
          <w:numId w:val="6"/>
        </w:numPr>
        <w:spacing w:before="0" w:after="0"/>
        <w:ind w:left="360" w:hanging="360"/>
      </w:pPr>
      <w:r>
        <w:t xml:space="preserve">Required </w:t>
      </w:r>
      <w:r>
        <w:rPr>
          <w:b w:val="on"/>
        </w:rPr>
        <w:t>input parameters</w:t>
      </w:r>
      <w:r>
        <w:t xml:space="preserve"> are marked with an asterisk (*).</w:t>
      </w:r>
    </w:p>
    <w:p>
      <w:r>
        <w:rPr>
          <w:b w:val="on"/>
        </w:rPr>
        <w:t>Name and description</w:t>
      </w:r>
    </w:p>
    <w:p>
      <w:r>
        <w:t xml:space="preserve">Every task has a </w:t>
      </w:r>
      <w:r>
        <w:rPr>
          <w:b w:val="on"/>
        </w:rPr>
        <w:t>Name</w:t>
      </w:r>
      <w:r>
        <w:t xml:space="preserve"> and a </w:t>
      </w:r>
      <w:r>
        <w:rPr>
          <w:b w:val="on"/>
        </w:rPr>
        <w:t>Description</w:t>
      </w:r>
      <w:r>
        <w:t xml:space="preserve">. Tasks are displayed as boxes in the flowchart, and their name and description are used to identify them. In the following figure, the red box marks the </w:t>
      </w:r>
      <w:r>
        <w:rPr>
          <w:b w:val="on"/>
        </w:rPr>
        <w:t>Name</w:t>
      </w:r>
      <w:r>
        <w:t xml:space="preserve"> and </w:t>
      </w:r>
      <w:r>
        <w:rPr>
          <w:b w:val="on"/>
        </w:rPr>
        <w:t>Description</w:t>
      </w:r>
      <w:r>
        <w:t xml:space="preserve"> fields in the edit panel; the same name and description appear on the task box in the flowchart.</w:t>
      </w:r>
    </w:p>
    <w:p>
      <w:pPr>
        <w:ind w:left="400"/>
      </w:pPr>
      <w:r>
        <w:drawing>
          <wp:inline distT="0" distR="0" distB="0" distL="0">
            <wp:extent cx="5715000" cy="3149600"/>
            <wp:docPr id="0" name="Drawing 0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"/>
                    <pic:cNvPicPr>
                      <a:picLocks noChangeAspect="true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14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00"/>
      </w:pPr>
      <w:r>
        <w:t xml:space="preserve">Click </w:t>
      </w:r>
      <w:r>
        <w:rPr>
          <w:b w:val="on"/>
        </w:rPr>
        <w:t>Auto fill</w:t>
      </w:r>
      <w:r>
        <w:t xml:space="preserve"> below the command in the properties panel to populate the </w:t>
      </w:r>
      <w:r>
        <w:rPr>
          <w:b w:val="on"/>
        </w:rPr>
        <w:t>Name</w:t>
      </w:r>
      <w:r>
        <w:t xml:space="preserve"> and </w:t>
      </w:r>
      <w:r>
        <w:rPr>
          <w:b w:val="on"/>
        </w:rPr>
        <w:t>Description</w:t>
      </w:r>
      <w:r>
        <w:t xml:space="preserve"> with the selected command's display name and description. Edit them as needed.</w:t>
      </w:r>
    </w:p>
    <w:p>
      <w:r>
        <w:rPr>
          <w:b w:val="on"/>
        </w:rPr>
        <w:t>Advance Settings</w:t>
      </w:r>
    </w:p>
    <w:p>
      <w:r>
        <w:t xml:space="preserve">The </w:t>
      </w:r>
      <w:r>
        <w:rPr>
          <w:b w:val="on"/>
        </w:rPr>
        <w:t>Advance Settings</w:t>
      </w:r>
      <w:r>
        <w:t xml:space="preserve"> section provides options to control task behavior.</w:t>
      </w:r>
    </w:p>
    <w:p>
      <w:r>
        <w:drawing>
          <wp:inline distT="0" distR="0" distB="0" distL="0">
            <wp:extent cx="5715000" cy="14897100"/>
            <wp:docPr id="1" name="Drawing 1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"/>
                    <pic:cNvPicPr>
                      <a:picLocks noChangeAspect="true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489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numId w:val="7"/>
        </w:numPr>
        <w:spacing w:before="0" w:after="0"/>
        <w:ind w:left="360" w:hanging="360"/>
      </w:pPr>
      <w:r>
        <w:rPr>
          <w:b w:val="on"/>
        </w:rPr>
        <w:t>Max Timeout (sec.)</w:t>
      </w:r>
      <w:r>
        <w:t>: Maximum wait time for task completion (default: 600 seconds)</w:t>
      </w:r>
    </w:p>
    <w:p>
      <w:pPr>
        <w:numPr>
          <w:numId w:val="7"/>
        </w:numPr>
        <w:spacing w:before="0" w:after="0"/>
        <w:ind w:left="360" w:hanging="360"/>
      </w:pPr>
      <w:r>
        <w:rPr>
          <w:b w:val="on"/>
        </w:rPr>
        <w:t>Retry Interval (sec.)</w:t>
      </w:r>
      <w:r>
        <w:t>: Interval between retries for a failed task (default: 0 seconds)</w:t>
      </w:r>
    </w:p>
    <w:p>
      <w:pPr>
        <w:numPr>
          <w:numId w:val="7"/>
        </w:numPr>
        <w:spacing w:before="0" w:after="0"/>
        <w:ind w:left="360" w:hanging="360"/>
      </w:pPr>
      <w:r>
        <w:rPr>
          <w:b w:val="on"/>
        </w:rPr>
        <w:t>Retry Count</w:t>
      </w:r>
      <w:r>
        <w:t>: Number of retries (default: 0). If the task completes within the retry count, it is considered successful.</w:t>
      </w:r>
    </w:p>
    <w:p>
      <w:pPr>
        <w:numPr>
          <w:numId w:val="7"/>
        </w:numPr>
        <w:spacing w:before="0" w:after="0"/>
        <w:ind w:left="400" w:hanging="360"/>
      </w:pPr>
      <w:r>
        <w:rPr>
          <w:b w:val="on"/>
        </w:rPr>
        <w:t>Action on Failure</w:t>
      </w:r>
      <w:r>
        <w:t>: Action to take when a task fails (options: Stop on Failure, Ignore Failure; default: Stop on Failure)</w:t>
      </w:r>
    </w:p>
    <w:p>
      <w:pPr>
        <w:pStyle w:val="4"/>
      </w:pPr>
      <w:r>
        <w:t>Properties by type</w:t>
      </w:r>
    </w:p>
    <w:p>
      <w:r>
        <w:t>A task is the smallest building block of a playbook. Each task type performs a different function. The following table summarizes the task types: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Task 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hyperlink r:id="rId15">
              <w:r>
                <w:rPr>
                  <w:rStyle w:val="a6"/>
                </w:rPr>
                <w:t>Execute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Executes a command defined in a command group</w:t>
            </w:r>
          </w:p>
        </w:tc>
      </w:tr>
      <w:tr>
        <w:tc>
          <w:p>
            <w:pPr>
              <w:spacing w:before="0" w:after="0"/>
            </w:pPr>
            <w:hyperlink r:id="rId16">
              <w:r>
                <w:rPr>
                  <w:rStyle w:val="a6"/>
                </w:rPr>
                <w:t>Branch</w:t>
              </w:r>
            </w:hyperlink>
            <w:r>
              <w:t xml:space="preserve"> (</w:t>
            </w:r>
            <w:r>
              <w:rPr>
                <w:b w:val="on"/>
              </w:rPr>
              <w:t>Decision</w:t>
            </w:r>
            <w:r>
              <w:t>)</w:t>
            </w:r>
          </w:p>
        </w:tc>
        <w:tc>
          <w:p>
            <w:pPr>
              <w:spacing w:before="0" w:after="0"/>
            </w:pPr>
            <w:r>
              <w:t>Branches the task flow based on the evaluation of a comparison expression (</w:t>
            </w:r>
            <w:r>
              <w:rPr>
                <w:rStyle w:val="af4"/>
              </w:rPr>
              <w:t>true</w:t>
            </w:r>
            <w:r>
              <w:t>/</w:t>
            </w:r>
            <w:r>
              <w:rPr>
                <w:rStyle w:val="af4"/>
              </w:rPr>
              <w:t>false</w:t>
            </w:r>
            <w:r>
              <w:t>)</w:t>
            </w:r>
          </w:p>
        </w:tc>
      </w:tr>
      <w:tr>
        <w:tc>
          <w:p>
            <w:pPr>
              <w:spacing w:before="0" w:after="0"/>
            </w:pPr>
            <w:hyperlink r:id="rId17">
              <w:r>
                <w:rPr>
                  <w:rStyle w:val="a6"/>
                </w:rPr>
                <w:t>Expression</w:t>
              </w:r>
            </w:hyperlink>
            <w:r>
              <w:t xml:space="preserve"> (</w:t>
            </w:r>
            <w:r>
              <w:rPr>
                <w:b w:val="on"/>
              </w:rPr>
              <w:t>Evaluate</w:t>
            </w:r>
            <w:r>
              <w:t>)</w:t>
            </w:r>
          </w:p>
        </w:tc>
        <w:tc>
          <w:p>
            <w:pPr>
              <w:spacing w:before="0" w:after="0"/>
            </w:pPr>
            <w:r>
              <w:t>Assigns the result of an expression to a variable</w:t>
            </w:r>
          </w:p>
        </w:tc>
      </w:tr>
      <w:tr>
        <w:tc>
          <w:p>
            <w:pPr>
              <w:spacing w:before="0" w:after="0"/>
            </w:pPr>
            <w:hyperlink r:id="rId18">
              <w:r>
                <w:rPr>
                  <w:rStyle w:val="a6"/>
                </w:rPr>
                <w:t>User input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Receives user input and assigns it to an output parameter</w:t>
            </w:r>
          </w:p>
        </w:tc>
      </w:tr>
      <w:tr>
        <w:tc>
          <w:p>
            <w:pPr>
              <w:spacing w:before="0" w:after="0"/>
            </w:pPr>
            <w:hyperlink r:id="rId19">
              <w:r>
                <w:rPr>
                  <w:rStyle w:val="a6"/>
                </w:rPr>
                <w:t>Approval request</w:t>
              </w:r>
            </w:hyperlink>
            <w:r>
              <w:t xml:space="preserve"> (</w:t>
            </w:r>
            <w:r>
              <w:rPr>
                <w:b w:val="on"/>
              </w:rPr>
              <w:t>Approval</w:t>
            </w:r>
            <w:r>
              <w:t>)</w:t>
            </w:r>
          </w:p>
        </w:tc>
        <w:tc>
          <w:p>
            <w:pPr>
              <w:spacing w:before="0" w:after="0"/>
            </w:pPr>
            <w:r>
              <w:t>Branches the task flow based on the user's approval result</w:t>
            </w:r>
          </w:p>
        </w:tc>
      </w:tr>
      <w:tr>
        <w:tc>
          <w:p>
            <w:pPr>
              <w:spacing w:before="0" w:after="0"/>
            </w:pPr>
            <w:hyperlink r:id="rId20">
              <w:r>
                <w:rPr>
                  <w:rStyle w:val="a6"/>
                </w:rPr>
                <w:t>Wait</w:t>
              </w:r>
            </w:hyperlink>
            <w:r>
              <w:t xml:space="preserve"> (</w:t>
            </w:r>
            <w:r>
              <w:rPr>
                <w:b w:val="on"/>
              </w:rPr>
              <w:t>Delay</w:t>
            </w:r>
            <w:r>
              <w:t>)</w:t>
            </w:r>
          </w:p>
        </w:tc>
        <w:tc>
          <w:p>
            <w:pPr>
              <w:spacing w:before="0" w:after="0"/>
            </w:pPr>
            <w:r>
              <w:t>Waits for a specified duration before proceeding to the next task</w:t>
            </w:r>
          </w:p>
        </w:tc>
      </w:tr>
      <w:tr>
        <w:tc>
          <w:p>
            <w:pPr>
              <w:spacing w:before="0" w:after="0"/>
            </w:pPr>
            <w:hyperlink r:id="rId21">
              <w:r>
                <w:rPr>
                  <w:rStyle w:val="a6"/>
                </w:rPr>
                <w:t>Send email</w:t>
              </w:r>
            </w:hyperlink>
            <w:r>
              <w:t xml:space="preserve"> (</w:t>
            </w:r>
            <w:r>
              <w:rPr>
                <w:b w:val="on"/>
              </w:rPr>
              <w:t>Email</w:t>
            </w:r>
            <w:r>
              <w:t>)</w:t>
            </w:r>
          </w:p>
        </w:tc>
        <w:tc>
          <w:p>
            <w:pPr>
              <w:spacing w:before="0" w:after="0"/>
            </w:pPr>
            <w:r>
              <w:t>Sends an email according to the format specified in the input parameters</w:t>
            </w:r>
          </w:p>
        </w:tc>
      </w:tr>
      <w:tr>
        <w:tc>
          <w:p>
            <w:pPr>
              <w:spacing w:before="0" w:after="0"/>
            </w:pPr>
            <w:hyperlink r:id="rId22">
              <w:r>
                <w:rPr>
                  <w:rStyle w:val="a6"/>
                </w:rPr>
                <w:t>Call playbook</w:t>
              </w:r>
            </w:hyperlink>
            <w:r>
              <w:t xml:space="preserve"> (</w:t>
            </w:r>
            <w:r>
              <w:rPr>
                <w:b w:val="on"/>
              </w:rPr>
              <w:t>Playbook</w:t>
            </w:r>
            <w:r>
              <w:t>)</w:t>
            </w:r>
          </w:p>
        </w:tc>
        <w:tc>
          <w:p>
            <w:pPr>
              <w:spacing w:before="0" w:after="0"/>
            </w:pPr>
            <w:r>
              <w:t>Calls and runs another playbook</w:t>
            </w:r>
          </w:p>
        </w:tc>
      </w:tr>
      <w:tr>
        <w:tc>
          <w:p>
            <w:pPr>
              <w:spacing w:before="0" w:after="0"/>
            </w:pPr>
            <w:hyperlink r:id="rId23">
              <w:r>
                <w:rPr>
                  <w:rStyle w:val="a6"/>
                </w:rPr>
                <w:t>Query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Executes a query and retrieves the results</w:t>
            </w:r>
          </w:p>
        </w:tc>
      </w:tr>
      <w:tr>
        <w:tc>
          <w:p>
            <w:pPr>
              <w:spacing w:before="0" w:after="0"/>
            </w:pPr>
            <w:hyperlink r:id="rId24">
              <w:r>
                <w:rPr>
                  <w:rStyle w:val="a6"/>
                </w:rPr>
                <w:t>Investigate Result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Executes a query and adds the results as an investigation result to a ticket</w:t>
            </w:r>
          </w:p>
        </w:tc>
      </w:tr>
    </w:tbl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12" Target="https://docs.logpresso.comnull" TargetMode="External" Type="http://schemas.openxmlformats.org/officeDocument/2006/relationships/hyperlink"/><Relationship Id="rId13" Target="media/image1.png" Type="http://schemas.openxmlformats.org/officeDocument/2006/relationships/image"/><Relationship Id="rId14" Target="media/image2.png" Type="http://schemas.openxmlformats.org/officeDocument/2006/relationships/image"/><Relationship Id="rId15" Target="https://docs.logpresso.comnull" TargetMode="External" Type="http://schemas.openxmlformats.org/officeDocument/2006/relationships/hyperlink"/><Relationship Id="rId16" Target="https://docs.logpresso.comnull" TargetMode="External" Type="http://schemas.openxmlformats.org/officeDocument/2006/relationships/hyperlink"/><Relationship Id="rId17" Target="https://docs.logpresso.comnull" TargetMode="External" Type="http://schemas.openxmlformats.org/officeDocument/2006/relationships/hyperlink"/><Relationship Id="rId18" Target="https://docs.logpresso.comnull" TargetMode="External" Type="http://schemas.openxmlformats.org/officeDocument/2006/relationships/hyperlink"/><Relationship Id="rId19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20" Target="https://docs.logpresso.comnull" TargetMode="External" Type="http://schemas.openxmlformats.org/officeDocument/2006/relationships/hyperlink"/><Relationship Id="rId21" Target="https://docs.logpresso.comnull" TargetMode="External" Type="http://schemas.openxmlformats.org/officeDocument/2006/relationships/hyperlink"/><Relationship Id="rId22" Target="https://docs.logpresso.comnull" TargetMode="External" Type="http://schemas.openxmlformats.org/officeDocument/2006/relationships/hyperlink"/><Relationship Id="rId23" Target="https://docs.logpresso.comnull" TargetMode="External" Type="http://schemas.openxmlformats.org/officeDocument/2006/relationships/hyperlink"/><Relationship Id="rId24" Target="https://docs.logpresso.comnull" TargetMode="External" Type="http://schemas.openxmlformats.org/officeDocument/2006/relationships/hyperlink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