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Stacked area</w:t>
      </w:r>
    </w:p>
    <w:p>
      <w:pPr>
        <w:pStyle w:val="4"/>
      </w:pPr>
      <w:r>
        <w:t>Overview</w:t>
      </w:r>
    </w:p>
    <w:p>
      <w:r>
        <w:t>The stacked area widget stacks multiple dependent variables vertically to display both individual series values and the total sum. It is suitable for showing the proportion of each item within the total alongside trends, such as the ratio of each protocol in total traffic or the distribution of event types over time.</w:t>
      </w:r>
    </w:p>
    <w:p>
      <w:r>
        <w:t xml:space="preserve">For general information about query widgets, see </w:t>
      </w:r>
      <w:hyperlink r:id="rId10">
        <w:r>
          <w:rPr>
            <w:rStyle w:val="a6"/>
          </w:rPr>
          <w:t>Query widget</w:t>
        </w:r>
      </w:hyperlink>
      <w:r>
        <w:t>.</w:t>
      </w:r>
    </w:p>
    <w:p>
      <w:pPr>
        <w:pStyle w:val="4"/>
      </w:pPr>
      <w:r>
        <w:t>Chart settings</w:t>
      </w:r>
    </w:p>
    <w:p>
      <w:r>
        <w:t xml:space="preserve">Select </w:t>
      </w:r>
      <w:r>
        <w:rPr>
          <w:b w:val="on"/>
        </w:rPr>
        <w:t>Stacked Area</w:t>
      </w:r>
      <w:r>
        <w:t xml:space="preserve"> as the chart type in the pivot table editor and click the chart settings button.</w:t>
      </w:r>
    </w:p>
    <w:p>
      <w:pPr>
        <w:pStyle w:val="a7"/>
      </w:pPr>
      <w:r>
        <w:t>Variables</w:t>
      </w:r>
    </w:p>
    <w:p>
      <w:pPr>
        <w:numPr>
          <w:numId w:val="6"/>
        </w:numPr>
        <w:spacing w:before="0" w:after="0"/>
        <w:ind w:left="360" w:hanging="360"/>
      </w:pPr>
      <w:r>
        <w:rPr>
          <w:b w:val="on"/>
        </w:rPr>
        <w:t>Independent Variable</w:t>
      </w:r>
      <w:r>
        <w:t>: Select the field to display on the X-axis.</w:t>
      </w:r>
    </w:p>
    <w:p>
      <w:pPr>
        <w:numPr>
          <w:numId w:val="6"/>
        </w:numPr>
        <w:spacing w:before="0" w:after="0"/>
        <w:ind w:left="360" w:hanging="360"/>
      </w:pPr>
      <w:r>
        <w:rPr>
          <w:b w:val="on"/>
        </w:rPr>
        <w:t>Auto-Select</w:t>
      </w:r>
      <w:r>
        <w:t>: Automatically select all numeric fields as dependent variables.</w:t>
      </w:r>
    </w:p>
    <w:p>
      <w:pPr>
        <w:numPr>
          <w:numId w:val="6"/>
        </w:numPr>
        <w:spacing w:before="0" w:after="0"/>
        <w:ind w:left="360" w:hanging="360"/>
      </w:pPr>
      <w:r>
        <w:rPr>
          <w:b w:val="on"/>
        </w:rPr>
        <w:t>Dependent Variable(s)</w:t>
      </w:r>
      <w:r>
        <w:t>: Specify dependent variables manually.</w:t>
      </w:r>
    </w:p>
    <w:p>
      <w:pPr>
        <w:pStyle w:val="a7"/>
      </w:pPr>
      <w:r>
        <w:t>View</w:t>
      </w:r>
    </w:p>
    <w:p>
      <w:pPr>
        <w:numPr>
          <w:numId w:val="7"/>
        </w:numPr>
        <w:spacing w:before="0" w:after="0"/>
        <w:ind w:left="360" w:hanging="360"/>
      </w:pPr>
      <w:r>
        <w:rPr>
          <w:b w:val="on"/>
        </w:rPr>
        <w:t>Zoom-In</w:t>
      </w:r>
      <w:r>
        <w:t>: Select the direction for drag-to-zoom (default: None, options: x, y, xy).</w:t>
      </w:r>
    </w:p>
    <w:p>
      <w:pPr>
        <w:numPr>
          <w:numId w:val="7"/>
        </w:numPr>
        <w:spacing w:before="0" w:after="0"/>
        <w:ind w:left="360" w:hanging="360"/>
      </w:pPr>
      <w:r>
        <w:rPr>
          <w:b w:val="on"/>
        </w:rPr>
        <w:t>Concatenate Empty Values</w:t>
      </w:r>
      <w:r>
        <w:t>: Connect data points across empty intervals.</w:t>
      </w:r>
    </w:p>
    <w:p>
      <w:pPr>
        <w:pStyle w:val="a7"/>
      </w:pPr>
      <w:r>
        <w:t>Chart</w:t>
      </w:r>
    </w:p>
    <w:p>
      <w:pPr>
        <w:numPr>
          <w:numId w:val="8"/>
        </w:numPr>
        <w:spacing w:before="0" w:after="0"/>
        <w:ind w:left="360" w:hanging="360"/>
      </w:pPr>
      <w:r>
        <w:rPr>
          <w:b w:val="on"/>
        </w:rPr>
        <w:t>Headline</w:t>
      </w:r>
      <w:r>
        <w:t>: Enter a chart title and subtitle.</w:t>
      </w:r>
    </w:p>
    <w:p>
      <w:pPr>
        <w:numPr>
          <w:numId w:val="8"/>
        </w:numPr>
        <w:spacing w:before="0" w:after="0"/>
        <w:ind w:left="360" w:hanging="360"/>
      </w:pPr>
      <w:r>
        <w:rPr>
          <w:b w:val="on"/>
        </w:rPr>
        <w:t>Chart Area</w:t>
      </w:r>
      <w:r>
        <w:t>: Set the background color, border thickness, and border color.</w:t>
      </w:r>
    </w:p>
    <w:p>
      <w:pPr>
        <w:pStyle w:val="a7"/>
      </w:pPr>
      <w:r>
        <w:t>Axis</w:t>
      </w:r>
    </w:p>
    <w:p>
      <w:pPr>
        <w:numPr>
          <w:numId w:val="9"/>
        </w:numPr>
        <w:spacing w:before="0" w:after="0"/>
        <w:ind w:left="360" w:hanging="360"/>
      </w:pPr>
      <w:r>
        <w:rPr>
          <w:b w:val="on"/>
        </w:rPr>
        <w:t>X-axis</w:t>
      </w:r>
      <w:r>
        <w:t>: Set the title and format.</w:t>
      </w:r>
    </w:p>
    <w:p>
      <w:pPr>
        <w:numPr>
          <w:numId w:val="9"/>
        </w:numPr>
        <w:spacing w:before="0" w:after="0"/>
        <w:ind w:left="360" w:hanging="360"/>
      </w:pPr>
      <w:r>
        <w:rPr>
          <w:b w:val="on"/>
        </w:rPr>
        <w:t>Y-axis</w:t>
      </w:r>
      <w:r>
        <w:t>: Set the title, format, min, and max.</w:t>
      </w:r>
    </w:p>
    <w:p>
      <w:pPr>
        <w:pStyle w:val="a7"/>
      </w:pPr>
      <w:r>
        <w:t>Series</w:t>
      </w:r>
    </w:p>
    <w:p>
      <w:pPr>
        <w:numPr>
          <w:numId w:val="10"/>
        </w:numPr>
        <w:spacing w:before="0" w:after="0"/>
        <w:ind w:left="360" w:hanging="360"/>
      </w:pPr>
      <w:r>
        <w:rPr>
          <w:b w:val="on"/>
        </w:rPr>
        <w:t>Chart Type</w:t>
      </w:r>
      <w:r>
        <w:t>: Override the series chart type (default: Auto).</w:t>
      </w:r>
    </w:p>
    <w:p>
      <w:pPr>
        <w:numPr>
          <w:numId w:val="10"/>
        </w:numPr>
        <w:spacing w:before="0" w:after="0"/>
        <w:ind w:left="360" w:hanging="360"/>
      </w:pPr>
      <w:r>
        <w:rPr>
          <w:b w:val="on"/>
        </w:rPr>
        <w:t>Series Color</w:t>
      </w:r>
      <w:r>
        <w:t>: Set the series color.</w:t>
      </w:r>
    </w:p>
    <w:p>
      <w:pPr>
        <w:numPr>
          <w:numId w:val="10"/>
        </w:numPr>
        <w:spacing w:before="0" w:after="0"/>
        <w:ind w:left="360" w:hanging="360"/>
      </w:pPr>
      <w:r>
        <w:rPr>
          <w:b w:val="on"/>
        </w:rPr>
        <w:t>Border Style</w:t>
      </w:r>
      <w:r>
        <w:t>: Select the line style.</w:t>
      </w:r>
    </w:p>
    <w:p>
      <w:pPr>
        <w:numPr>
          <w:numId w:val="10"/>
        </w:numPr>
        <w:spacing w:before="0" w:after="0"/>
        <w:ind w:left="360" w:hanging="360"/>
      </w:pPr>
      <w:r>
        <w:rPr>
          <w:b w:val="on"/>
        </w:rPr>
        <w:t>Show Point Marker</w:t>
      </w:r>
      <w:r>
        <w:t>: Set whether to display markers.</w:t>
      </w:r>
    </w:p>
    <w:p>
      <w:pPr>
        <w:pStyle w:val="a7"/>
      </w:pPr>
      <w:r>
        <w:t>Label</w:t>
      </w:r>
    </w:p>
    <w:p>
      <w:pPr>
        <w:numPr>
          <w:numId w:val="11"/>
        </w:numPr>
        <w:spacing w:before="0" w:after="0"/>
        <w:ind w:left="360" w:hanging="360"/>
      </w:pPr>
      <w:r>
        <w:rPr>
          <w:b w:val="on"/>
        </w:rPr>
        <w:t>Label All Series</w:t>
      </w:r>
      <w:r>
        <w:t>: Display values above data points.</w:t>
      </w:r>
    </w:p>
    <w:p>
      <w:pPr>
        <w:pStyle w:val="a7"/>
      </w:pPr>
      <w:r>
        <w:t>Legend</w:t>
      </w:r>
    </w:p>
    <w:p>
      <w:pPr>
        <w:numPr>
          <w:numId w:val="12"/>
        </w:numPr>
        <w:spacing w:before="0" w:after="0"/>
        <w:ind w:left="360" w:hanging="360"/>
      </w:pPr>
      <w:r>
        <w:rPr>
          <w:b w:val="on"/>
        </w:rPr>
        <w:t>Show</w:t>
      </w:r>
      <w:r>
        <w:t>: Set whether to display the legend.</w:t>
      </w:r>
    </w:p>
    <w:p>
      <w:pPr>
        <w:numPr>
          <w:numId w:val="12"/>
        </w:numPr>
        <w:spacing w:before="0" w:after="0"/>
        <w:ind w:left="360" w:hanging="360"/>
      </w:pPr>
      <w:r>
        <w:rPr>
          <w:b w:val="on"/>
        </w:rPr>
        <w:t>Legend Arrangement</w:t>
      </w:r>
      <w:r>
        <w:t>: Options: Horizontal, Vertical.</w:t>
      </w:r>
    </w:p>
    <w:p>
      <w:pPr>
        <w:numPr>
          <w:numId w:val="12"/>
        </w:numPr>
        <w:spacing w:before="0" w:after="0"/>
        <w:ind w:left="360" w:hanging="360"/>
      </w:pPr>
      <w:r>
        <w:rPr>
          <w:b w:val="on"/>
        </w:rPr>
        <w:t>Horizontal Align / Vertical Align</w:t>
      </w:r>
      <w:r>
        <w:t>: Set the legend position.</w:t>
      </w:r>
    </w:p>
    <w:p>
      <w:pPr>
        <w:pStyle w:val="a7"/>
      </w:pPr>
      <w:r>
        <w:t>Event</w:t>
      </w:r>
    </w:p>
    <w:p>
      <w:r>
        <w:t>Configure click and drag events.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