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array()</w:t>
      </w:r>
    </w:p>
    <w:p>
      <w:r>
        <w:t>グループに属する値の配列を生成します。グループごとに最大100件の項目を収集し、重複した値も含めて配列を作成します。</w:t>
      </w:r>
    </w:p>
    <w:p>
      <w:r>
        <w:t>グループ内のすべてのユニークな値の集合を抽出したい場合は、</w:t>
      </w:r>
      <w:hyperlink r:id="rId10">
        <w:r>
          <w:rPr>
            <w:rStyle w:val="a6"/>
          </w:rPr>
          <w:t>values()</w:t>
        </w:r>
      </w:hyperlink>
      <w:r>
        <w:t xml:space="preserve"> 関数を使用してください。</w:t>
      </w:r>
    </w:p>
    <w:p>
      <w:pPr>
        <w:pStyle w:val="4"/>
      </w:pPr>
      <w:r>
        <w:t>構文</w:t>
      </w:r>
    </w:p>
    <w:p>
      <w:pPr>
        <w:pStyle w:val="ab"/>
      </w:pPr>
      <w:r>
        <w:t>array(EXPR)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配列に変換するフィールドを返す式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