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はじめに</w:t>
      </w:r>
    </w:p>
    <w:p>
      <w:pPr>
        <w:pStyle w:val="2"/>
      </w:pPr>
      <w:r>
        <w:t>ユーザーインターフェースの表記</w:t>
      </w:r>
    </w:p>
    <w:p>
      <w:r>
        <w:t>ユーザーインターフェース（GUI、グラフィカルユーザーインターフェース）を構成する要素は、以下のように表記します。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表記形式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メニュー1 &gt; メニュー2</w:t>
            </w:r>
            <w:r>
              <w:t/>
            </w:r>
          </w:p>
        </w:tc>
        <w:tc>
          <w:p>
            <w:pPr>
              <w:spacing w:before="0" w:after="0"/>
            </w:pPr>
            <w:r>
              <w:t>複数階層のメニューをたどる場合、「&gt;」を使用してメニュー経路を示します。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[タブ]</w:t>
            </w:r>
            <w:r>
              <w:t/>
            </w:r>
          </w:p>
        </w:tc>
        <w:tc>
          <w:p>
            <w:pPr>
              <w:spacing w:before="0" w:after="0"/>
            </w:pPr>
            <w:r>
              <w:t>画面上のタブ名を表記します。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ボタン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ボタン名は太字で表記します。</w:t>
            </w:r>
          </w:p>
        </w:tc>
      </w:tr>
    </w:tbl>
    <w:p>
      <w:pPr>
        <w:pStyle w:val="2"/>
      </w:pPr>
      <w:r>
        <w:t>コマンドの表記</w:t>
      </w:r>
    </w:p>
    <w:p>
      <w:r>
        <w:t>以下の表は、ドキュメント内でコマンドやオプション、入力値を表記する際の規則です。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表記例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table araqne_query_logs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そのまま入力する内容は等幅小文字で表記します。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,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TABLE.INDEX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ユーザーの環境に応じて入力すべき内容は等幅大文字で表記します。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opt=value</w:t>
            </w:r>
            <w:r>
              <w:t xml:space="preserve">, </w:t>
            </w:r>
            <w:r>
              <w:rPr>
                <w:rStyle w:val="af4"/>
              </w:rPr>
              <w:t>[opt=value]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コマンドのオプションは「オプション=値」の形式で表記します。角括弧（</w:t>
            </w:r>
            <w:r>
              <w:rPr>
                <w:rStyle w:val="af4"/>
              </w:rPr>
              <w:t>[ ]</w:t>
            </w:r>
            <w:r>
              <w:t>）がある場合は任意オプションで、省略可能です。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opt={true|false}</w:t>
            </w:r>
            <w:r>
              <w:t xml:space="preserve">, </w:t>
            </w:r>
            <w:r>
              <w:rPr>
                <w:rStyle w:val="af4"/>
              </w:rPr>
              <w:t>opt=INT{s|m|d|w|mon}</w:t>
            </w:r>
            <w:r>
              <w:t/>
            </w:r>
          </w:p>
        </w:tc>
        <w:tc>
          <w:p>
            <w:pPr>
              <w:spacing w:before="0" w:after="0"/>
            </w:pPr>
            <w:r>
              <w:t>複数から一つを選択して指定する値は、中括弧（</w:t>
            </w:r>
            <w:r>
              <w:rPr>
                <w:rStyle w:val="af4"/>
              </w:rPr>
              <w:t>{ }</w:t>
            </w:r>
            <w:r>
              <w:t>）で囲んで表記します。</w:t>
            </w:r>
          </w:p>
        </w:tc>
      </w:tr>
    </w:tbl>
    <w:p>
      <w:r>
        <w:t>本ドキュメントでコマンド構文を記述する際は、上記の表記法を使用します。たとえば、</w:t>
      </w:r>
      <w:hyperlink r:id="rId10">
        <w:r>
          <w:rPr>
            <w:rStyle w:val="a6"/>
          </w:rPr>
          <w:t>stream</w:t>
        </w:r>
      </w:hyperlink>
      <w:r>
        <w:t xml:space="preserve"> コマンドの構文は次のように示します。</w:t>
      </w:r>
    </w:p>
    <w:p>
      <w:pPr>
        <w:pStyle w:val="ab"/>
      </w:pPr>
      <w:r>
        <w:t>stream [forward=BOOL] [window=INT{y|mon|w|d|h|m|s}] STREAM[, ...]</w:t>
      </w:r>
    </w:p>
    <w:p>
      <w:pPr>
        <w:pStyle w:val="2"/>
      </w:pPr>
      <w:r>
        <w:t>略語および用語</w:t>
      </w:r>
    </w:p>
    <w:p>
      <w:r>
        <w:t>本ドキュメントでは、以下の用語を使用します。</w:t>
      </w:r>
    </w:p>
    <w:p>
      <w:r>
        <w:rPr>
          <w:b w:val="on"/>
        </w:rPr>
        <w:t>ENT</w:t>
      </w:r>
    </w:p>
    <w:p>
      <w:pPr>
        <w:ind w:left="400"/>
      </w:pPr>
      <w:r>
        <w:t>ログプレッソ・エンタープライズ（Logpresso Enterprise）</w:t>
      </w:r>
    </w:p>
    <w:p>
      <w:r>
        <w:rPr>
          <w:b w:val="on"/>
        </w:rPr>
        <w:t>FRS</w:t>
      </w:r>
    </w:p>
    <w:p>
      <w:pPr>
        <w:ind w:left="400"/>
      </w:pPr>
      <w:r>
        <w:t>ログプレッソ・フォレンジック（Logpresso Forensic）</w:t>
      </w:r>
    </w:p>
    <w:p>
      <w:r>
        <w:rPr>
          <w:b w:val="on"/>
        </w:rPr>
        <w:t>GUID</w:t>
      </w:r>
    </w:p>
    <w:p>
      <w:pPr>
        <w:ind w:left="400"/>
      </w:pPr>
      <w:r>
        <w:t>16進数で構成されるグローバル一意識別子（Globally Unique Identity）の略称</w:t>
      </w:r>
    </w:p>
    <w:p>
      <w:r>
        <w:rPr>
          <w:b w:val="on"/>
        </w:rPr>
        <w:t>SNR</w:t>
      </w:r>
    </w:p>
    <w:p>
      <w:pPr>
        <w:ind w:left="400"/>
      </w:pPr>
      <w:r>
        <w:t>ログプレッソ・ソナー（Logpresso Sonar）</w:t>
      </w:r>
    </w:p>
    <w:p>
      <w:r>
        <w:rPr>
          <w:b w:val="on"/>
        </w:rPr>
        <w:t>STD</w:t>
      </w:r>
    </w:p>
    <w:p>
      <w:pPr>
        <w:ind w:left="400"/>
      </w:pPr>
      <w:r>
        <w:t>ログプレッソ・スタンダード（Logpresso Standard）</w:t>
      </w:r>
    </w:p>
    <w:p>
      <w:r>
        <w:rPr>
          <w:b w:val="on"/>
        </w:rPr>
        <w:t>ウェブコンソール</w:t>
      </w:r>
    </w:p>
    <w:p>
      <w:pPr>
        <w:ind w:left="400"/>
      </w:pPr>
      <w:r>
        <w:t>ログプレッソ製品群が提供するウェブベースのユーザーインターフェース</w:t>
      </w:r>
    </w:p>
    <w:p>
      <w:r>
        <w:rPr>
          <w:b w:val="on"/>
        </w:rPr>
        <w:t>テーブル</w:t>
      </w:r>
    </w:p>
    <w:p>
      <w:pPr>
        <w:ind w:left="400"/>
      </w:pPr>
      <w:r>
        <w:t>ログを保存するファイルの論理名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