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corr()</w:t>
      </w:r>
    </w:p>
    <w:p>
      <w:r>
        <w:t>グループごとのピアソン相関係数を計算します。</w:t>
      </w:r>
      <w:r>
        <w:rPr>
          <w:rStyle w:val="af4"/>
        </w:rPr>
        <w:t>EXPR_X</w:t>
      </w:r>
      <w:r>
        <w:t>、</w:t>
      </w:r>
      <w:r>
        <w:rPr>
          <w:rStyle w:val="af4"/>
        </w:rPr>
        <w:t>EXPR_Y</w:t>
      </w:r>
      <w:r>
        <w:t>のいずれかの式がnullを返す場合や、数値以外の値を返す場合は、その値は無視されます。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corr(EXPR_X, EXPR_Y)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ピアソン相関係数を計算するフィールドリスト式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ピアソン相関係数を計算するフィールドリスト式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repeat count=100</w:t>
        <w:cr/>
      </w:r>
      <w:r>
        <w:t xml:space="preserve">| eval n1=seq(), n2=sqrt(seq()) </w:t>
        <w:cr/>
      </w:r>
      <w:r>
        <w:t>| stats corr(n1, n2)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