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estdc()</w:t>
      </w:r>
    </w:p>
    <w:p>
      <w:r>
        <w:t>グループ内のユニークな値のおおよその数を抽出します。</w:t>
      </w:r>
    </w:p>
    <w:p>
      <w:pPr>
        <w:pStyle w:val="4"/>
      </w:pPr>
      <w:r>
        <w:t>構文</w:t>
      </w:r>
    </w:p>
    <w:p>
      <w:pPr>
        <w:pStyle w:val="ab"/>
      </w:pPr>
      <w:r>
        <w:t>estdc(EXPR[, NUMBER])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NUMBER</w:t>
      </w:r>
    </w:p>
    <w:p>
      <w:pPr>
        <w:ind w:left="400"/>
      </w:pPr>
      <w:r>
        <w:t xml:space="preserve">4～24の範囲で指定するビット数（デフォルト: </w:t>
      </w:r>
      <w:r>
        <w:rPr>
          <w:rStyle w:val="af4"/>
        </w:rPr>
        <w:t>16</w:t>
      </w:r>
      <w:r>
        <w:t>）。ビット数を大きくすると精度とメモリ使用量が増加します。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