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linux-arp-entries</w:t>
      </w:r>
    </w:p>
    <w:p>
      <w:r>
        <w:t>/proc/net/arpファイルからARPキャッシュ情報を参照します。</w:t>
      </w:r>
    </w:p>
    <w:p>
      <w:pPr>
        <w:pStyle w:val="4"/>
      </w:pPr>
      <w:r>
        <w:t>構文</w:t>
      </w:r>
    </w:p>
    <w:p>
      <w:pPr>
        <w:pStyle w:val="ab"/>
      </w:pPr>
      <w:r>
        <w:t>linux-arp-entries</w:t>
      </w:r>
    </w:p>
    <w:p>
      <w:pPr>
        <w:pStyle w:val="4"/>
      </w:pPr>
      <w:r>
        <w:t>説明</w:t>
      </w:r>
    </w:p>
    <w:p>
      <w:r>
        <w:t>コマンドを実行すると、以下の表に示すフィールドが出力されます。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ハードウェアタイプ。ほとんどの場合はイーサネット（</w:t>
            </w:r>
            <w:r>
              <w:rPr>
                <w:rStyle w:val="af4"/>
              </w:rPr>
              <w:t>1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関連付けられたIPアドレス</w:t>
            </w:r>
          </w:p>
        </w:tc>
      </w:tr>
      <w:tr>
        <w:tc>
          <w:p>
            <w:pPr>
              <w:spacing w:before="0" w:after="0"/>
            </w:pPr>
            <w:r>
              <w:t>mac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MACアドレス</w:t>
            </w:r>
          </w:p>
        </w:tc>
      </w:tr>
      <w:tr>
        <w:tc>
          <w:p>
            <w:pPr>
              <w:spacing w:before="0" w:after="0"/>
            </w:pPr>
            <w:r>
              <w:t>iface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ネットワークインターフェース名</w:t>
            </w:r>
          </w:p>
        </w:tc>
      </w:tr>
    </w:tbl>
    <w:p>
      <w:pPr>
        <w:pStyle w:val="4"/>
      </w:pPr>
      <w:r>
        <w:t>使用例</w:t>
      </w:r>
    </w:p>
    <w:p>
      <w:r>
        <w:t>ARPキャッシュ情報の参照</w:t>
      </w:r>
    </w:p>
    <w:p>
      <w:pPr>
        <w:pStyle w:val="ae"/>
      </w:pPr>
      <w:r>
        <w:t>linux-arp-entries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