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matchblackip()</w:t>
      </w:r>
    </w:p>
    <w:p>
      <w:r>
        <w:t xml:space="preserve">アドレスグループに対象式の評価値が含まれている場合は </w:t>
      </w:r>
      <w:r>
        <w:rPr>
          <w:rStyle w:val="af4"/>
        </w:rPr>
        <w:t>true</w:t>
      </w:r>
      <w:r>
        <w:t xml:space="preserve">、含まれていない場合は </w:t>
      </w:r>
      <w:r>
        <w:rPr>
          <w:rStyle w:val="af4"/>
        </w:rPr>
        <w:t>false</w:t>
      </w:r>
      <w:r>
        <w:t xml:space="preserve"> を返します。</w:t>
      </w:r>
    </w:p>
    <w:p>
      <w:pPr>
        <w:pStyle w:val="4"/>
      </w:pPr>
      <w:r>
        <w:t>構文</w:t>
      </w:r>
    </w:p>
    <w:p>
      <w:pPr>
        <w:pStyle w:val="ab"/>
      </w:pPr>
      <w:r>
        <w:t>matchblackip(STR_GUID, IP_ADDR_EXPR)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STR_GUID</w:t>
      </w:r>
    </w:p>
    <w:p>
      <w:pPr>
        <w:ind w:left="400"/>
      </w:pPr>
      <w:r>
        <w:t>アドレスグループの GUID。GUID 文字列は有効なアドレスグループ識別子でなければなりません。無効な GUID を指定した場合、クエリは失敗します。</w:t>
      </w:r>
    </w:p>
    <w:p>
      <w:r>
        <w:rPr>
          <w:rStyle w:val="af4"/>
          <w:b w:val="on"/>
        </w:rPr>
        <w:t>IP_ADDR_EXPR</w:t>
      </w:r>
    </w:p>
    <w:p>
      <w:pPr>
        <w:ind w:left="400"/>
      </w:pPr>
      <w:r>
        <w:t>IP アドレス式。対象式には IPv4 アドレスまたは IPv4 文字列のみが許可されます。対象式が許可されていない型の場合、</w:t>
      </w:r>
      <w:r>
        <w:rPr>
          <w:rStyle w:val="af4"/>
        </w:rPr>
        <w:t>false</w:t>
      </w:r>
      <w:r>
        <w:t xml:space="preserve"> を返します。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