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matchnet()</w:t>
      </w:r>
    </w:p>
    <w:p>
      <w:r>
        <w:t>サブネットグループにIPアドレス式の評価値が含まれている場合はtrue、含まれていない場合はfalseを返します。</w:t>
      </w:r>
    </w:p>
    <w:p>
      <w:pPr>
        <w:pStyle w:val="4"/>
      </w:pPr>
      <w:r>
        <w:t>構文</w:t>
      </w:r>
    </w:p>
    <w:p>
      <w:pPr>
        <w:pStyle w:val="ab"/>
      </w:pPr>
      <w:r>
        <w:t>matchnet(STR_GUID, IP_ADDR_EXPR)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STR_GUID</w:t>
      </w:r>
    </w:p>
    <w:p>
      <w:pPr>
        <w:ind w:left="400"/>
      </w:pPr>
      <w:r>
        <w:t>サブネットグループのGUID。GUID文字列は有効なサブネットグループ識別子でなければなりません。無効なサブネットグループGUIDを指定した場合、クエリは失敗します。</w:t>
      </w:r>
    </w:p>
    <w:p>
      <w:r>
        <w:rPr>
          <w:rStyle w:val="af4"/>
          <w:b w:val="on"/>
        </w:rPr>
        <w:t>IP_ADDR_EXPR</w:t>
      </w:r>
    </w:p>
    <w:p>
      <w:pPr>
        <w:ind w:left="400"/>
      </w:pPr>
      <w:r>
        <w:t>IPアドレス式。対象式にはIPv4アドレスまたはIPv4文字列のみが許可されます。対象式が許可されていない型の場合、false値を返します。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