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node-subnet-group</w:t>
      </w:r>
    </w:p>
    <w:p>
      <w:r>
        <w:t>データノードでコントロールノードと同期されたサブネットグループ項目を照会します。本コマンドはデータノードでのみ使用可能です。</w:t>
      </w:r>
    </w:p>
    <w:p>
      <w:pPr>
        <w:pStyle w:val="4"/>
      </w:pPr>
      <w:r>
        <w:t>構文</w:t>
      </w:r>
    </w:p>
    <w:p>
      <w:pPr>
        <w:pStyle w:val="ab"/>
      </w:pPr>
      <w:r>
        <w:t>node-subnet-group [guid=NET_GUID]</w:t>
      </w:r>
    </w:p>
    <w:p>
      <w:r>
        <w:rPr>
          <w:rStyle w:val="af4"/>
          <w:b w:val="on"/>
        </w:rPr>
        <w:t>guid=NET_GUID</w:t>
      </w:r>
    </w:p>
    <w:p>
      <w:pPr>
        <w:ind w:left="400"/>
      </w:pPr>
      <w:r>
        <w:t>サブネットグループのGUID識別子。識別子を指定しない場合、同期されたすべてのサブネットグループ一覧を出力します。</w:t>
      </w:r>
    </w:p>
    <w:p>
      <w:pPr>
        <w:pStyle w:val="4"/>
      </w:pPr>
      <w:r>
        <w:t>説明</w:t>
      </w:r>
    </w:p>
    <w:p>
      <w:r>
        <w:rPr>
          <w:rStyle w:val="af4"/>
        </w:rPr>
        <w:t>guid</w:t>
      </w:r>
      <w:r>
        <w:t xml:space="preserve"> オプションでサブネットグループのGUID識別子を指定すると、該当するGUIDのサブネットグループ情報を表示します。GUIDを指定しない場合は、データノードに同期されたすべてのサブネットグループ一覧を表示します。</w:t>
      </w:r>
    </w:p>
    <w:p>
      <w:r>
        <w:rPr>
          <w:b w:val="on"/>
        </w:rPr>
        <w:t>サブネットグループGUID指定時の出力フィールド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start_ip</w:t>
            </w:r>
          </w:p>
        </w:tc>
        <w:tc>
          <w:p>
            <w:pPr>
              <w:spacing w:before="0" w:after="0"/>
            </w:pPr>
            <w:r>
              <w:t>IPアドレス</w:t>
            </w:r>
          </w:p>
        </w:tc>
        <w:tc>
          <w:p>
            <w:pPr>
              <w:spacing w:before="0" w:after="0"/>
            </w:pPr>
            <w:r>
              <w:t>IPv4範囲の開始IPアドレス。タイプが単一またはCIDRの場合は該当項目のIPアドレス。</w:t>
            </w:r>
          </w:p>
        </w:tc>
      </w:tr>
      <w:tr>
        <w:tc>
          <w:p>
            <w:pPr>
              <w:spacing w:before="0" w:after="0"/>
            </w:pPr>
            <w:r>
              <w:t>end_ip</w:t>
            </w:r>
          </w:p>
        </w:tc>
        <w:tc>
          <w:p>
            <w:pPr>
              <w:spacing w:before="0" w:after="0"/>
            </w:pPr>
            <w:r>
              <w:t>IPアドレス</w:t>
            </w:r>
          </w:p>
        </w:tc>
        <w:tc>
          <w:p>
            <w:pPr>
              <w:spacing w:before="0" w:after="0"/>
            </w:pPr>
            <w:r>
              <w:t>IPv4範囲の終了IPアドレス。（タイプが範囲の項目のみ該当）</w:t>
            </w:r>
          </w:p>
        </w:tc>
      </w:tr>
      <w:tr>
        <w:tc>
          <w:p>
            <w:pPr>
              <w:spacing w:before="0" w:after="0"/>
            </w:pPr>
            <w:r>
              <w:t>cidr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CIDR値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説明</w:t>
            </w:r>
          </w:p>
        </w:tc>
      </w:tr>
    </w:tbl>
    <w:p>
      <w:r>
        <w:rPr>
          <w:b w:val="on"/>
        </w:rPr>
        <w:t>サブネットグループGUID未指定時の出力フィールド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整数識別子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サブネットグループGUID識別子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サブネットグループ名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サブネットグループ説明</w:t>
            </w:r>
          </w:p>
        </w:tc>
      </w:tr>
      <w:tr>
        <w:tc>
          <w:p>
            <w:pPr>
              <w:spacing w:before="0" w:after="0"/>
            </w:pPr>
            <w:r>
              <w:t>subnet_count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サブネット項目数</w:t>
            </w:r>
          </w:p>
        </w:tc>
      </w:tr>
      <w:tr>
        <w:tc>
          <w:p>
            <w:pPr>
              <w:spacing w:before="0" w:after="0"/>
            </w:pPr>
            <w:r>
              <w:t>company_guid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会社GUID識別子</w:t>
            </w:r>
          </w:p>
        </w:tc>
      </w:tr>
      <w:tr>
        <w:tc>
          <w:p>
            <w:pPr>
              <w:spacing w:before="0" w:after="0"/>
            </w:pPr>
            <w:r>
              <w:t>company_name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会社名</w:t>
            </w:r>
          </w:p>
        </w:tc>
      </w:tr>
      <w:tr>
        <w:tc>
          <w:p>
            <w:pPr>
              <w:spacing w:before="0" w:after="0"/>
            </w:pPr>
            <w:r>
              <w:t>user_name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ユーザー名</w:t>
            </w:r>
          </w:p>
        </w:tc>
      </w:tr>
      <w:tr>
        <w:tc>
          <w:p>
            <w:pPr>
              <w:spacing w:before="0" w:after="0"/>
            </w:pPr>
            <w:r>
              <w:t>user_guid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ユーザーGUID識別子</w:t>
            </w:r>
          </w:p>
        </w:tc>
      </w:tr>
    </w:tbl>
    <w:p>
      <w:pPr>
        <w:pStyle w:val="4"/>
      </w:pPr>
      <w:r>
        <w:t>使用例</w:t>
      </w:r>
    </w:p>
    <w:p>
      <w:r>
        <w:t>データノードで同期されたサブネットグループ一覧を照会</w:t>
      </w:r>
    </w:p>
    <w:p>
      <w:pPr>
        <w:pStyle w:val="ae"/>
      </w:pPr>
      <w:r>
        <w:t>node-subnet-group</w:t>
      </w:r>
    </w:p>
    <w:p>
      <w:r>
        <w:t>データノードで同期された特定のサブネットグループ項目を照会</w:t>
      </w:r>
    </w:p>
    <w:p>
      <w:pPr>
        <w:pStyle w:val="ae"/>
      </w:pPr>
      <w:r>
        <w:t>node-subnet-group guid=96f342ee-0aa2-4234-ac7c-37a50c38b7bc</w:t>
      </w:r>
    </w:p>
    <w:p>
      <w:pPr>
        <w:pStyle w:val="4"/>
      </w:pPr>
      <w:r>
        <w:t>互換性</w:t>
      </w:r>
    </w:p>
    <w:p>
      <w:r>
        <w:rPr>
          <w:rStyle w:val="af4"/>
        </w:rPr>
        <w:t>node-subnet-group</w:t>
      </w:r>
      <w:r>
        <w:t xml:space="preserve"> コマンドは SNR #1118 2019-08-01_18-34 バージョン以降で利用可能です。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