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sentry-logger-disconnect</w:t>
      </w:r>
    </w:p>
    <w:p>
      <w:r>
        <w:t>セントリーの特定のロガーで収集されたログをログプレッソ・ソナーサーバーへ送信しないように接続を解除します。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sentry-logger-disconnect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）およびロガー名（</w:t>
      </w:r>
      <w:r>
        <w:rPr>
          <w:rStyle w:val="af4"/>
        </w:rPr>
        <w:t>name</w:t>
      </w:r>
      <w:r>
        <w:t>）を入力レコードとして受け取り、指定されたロガーで収集されたデータをログプレッソ・ソナーサーバーへ送信しないようにセントリーへ非同期RPCメッセージを送信します。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例えば、ログプレッソ・ソナー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ご利用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および </w:t>
      </w:r>
      <w:r>
        <w:rPr>
          <w:rStyle w:val="af4"/>
        </w:rPr>
        <w:t>name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セントリー名前空間内で一意のロガー識別子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上記の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文字列以外にも、セントリーがインストールされたシステムの状態により他のRPC例外メッセージが出力される場合があります。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接続されているすべてのセントリーから、指定した名前のロガーを一括で接続解除します。</w:t>
      </w:r>
    </w:p>
    <w:p>
      <w:pPr>
        <w:pStyle w:val="ae"/>
      </w:pPr>
      <w:r>
        <w:t>sentry | sentry-loggers | search name == "wtmp_linux" | sentry-logger-disconnect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