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sonar-set-ip-address</w:t>
      </w:r>
    </w:p>
    <w:p>
      <w:r>
        <w:t>入力レコードで指定されたフィールドの値を内部IP資産データベースと同期します。</w:t>
      </w:r>
    </w:p>
    <w:p>
      <w:pPr>
        <w:pStyle w:val="4"/>
      </w:pPr>
      <w:r>
        <w:t>構文</w:t>
      </w:r>
    </w:p>
    <w:p>
      <w:pPr>
        <w:pStyle w:val="ab"/>
      </w:pPr>
      <w:r>
        <w:t>sonar-set-ip-address fields=FIELDS [batchsize=INT] [company=GUID]</w:t>
      </w:r>
    </w:p>
    <w:p>
      <w:pPr>
        <w:pStyle w:val="a7"/>
      </w:pPr>
      <w:r>
        <w:t>必須パラメータ</w:t>
      </w:r>
    </w:p>
    <w:p>
      <w:r>
        <w:rPr>
          <w:rStyle w:val="af4"/>
          <w:b w:val="on"/>
        </w:rPr>
        <w:t>fields=FIELDS</w:t>
      </w:r>
    </w:p>
    <w:p>
      <w:pPr>
        <w:ind w:left="400"/>
      </w:pPr>
      <w:r>
        <w:t>同期対象となるフィールドのリスト。カンマおよび空白文字（'</w:t>
      </w:r>
      <w:r>
        <w:rPr>
          <w:rStyle w:val="af4"/>
        </w:rPr>
        <w:t xml:space="preserve">, </w:t>
      </w:r>
      <w:r>
        <w:t>'）を区切り文字として使用します。下記の</w:t>
      </w:r>
      <w:hyperlink r:id="rId10">
        <w:r>
          <w:rPr>
            <w:rStyle w:val="a6"/>
          </w:rPr>
          <w:t>入力フィールド</w:t>
        </w:r>
      </w:hyperlink>
      <w:r>
        <w:t>を参照してください。</w:t>
      </w:r>
    </w:p>
    <w:p>
      <w:pPr>
        <w:pStyle w:val="a7"/>
      </w:pPr>
      <w:r>
        <w:t>オプションパラメータ</w:t>
      </w:r>
    </w:p>
    <w:p>
      <w:r>
        <w:rPr>
          <w:rStyle w:val="af4"/>
          <w:b w:val="on"/>
        </w:rPr>
        <w:t>batchsize=INT</w:t>
      </w:r>
    </w:p>
    <w:p>
      <w:pPr>
        <w:ind w:left="400"/>
      </w:pPr>
      <w:r>
        <w:t>指定したレコード数ごとにバッチ単位でコミットを実行します。有効な値の範囲は1～5000です。大量のIPアドレス情報を同期する場合に使用します。このオプションを利用するとトランザクション数が減少し、パフォーマンスが向上しますが、エラー発生時にはバッチ単位で同期が失敗します。</w:t>
      </w:r>
    </w:p>
    <w:p>
      <w:r>
        <w:rPr>
          <w:rStyle w:val="af4"/>
          <w:b w:val="on"/>
        </w:rPr>
        <w:t>company=GUID</w:t>
      </w:r>
    </w:p>
    <w:p>
      <w:pPr>
        <w:ind w:left="400"/>
      </w:pPr>
      <w:r>
        <w:t>会社（テナント）のGUID識別子（デフォルト：コマンドを実行するユーザーが所属する会社のGUID）。</w:t>
      </w:r>
    </w:p>
    <w:p>
      <w:pPr>
        <w:pStyle w:val="af1"/>
      </w:pPr>
      <w:r>
        <w:t>システムアカウントはどの会社にも所属していません。システムアカウント権限でクエリを実行する場合は、必ずこのオプションで同期対象の会社を明示的に指定してください。</w:t>
      </w:r>
    </w:p>
    <w:p>
      <w:pPr>
        <w:pStyle w:val="4"/>
      </w:pPr>
      <w:r>
        <w:t>説明</w:t>
      </w:r>
    </w:p>
    <w:p>
      <w:r>
        <w:t>このコマンドは、入力レコードの</w:t>
      </w:r>
      <w:r>
        <w:rPr>
          <w:rStyle w:val="af4"/>
        </w:rPr>
        <w:t>ip</w:t>
      </w:r>
      <w:r>
        <w:t>フィールドおよび</w:t>
      </w:r>
      <w:r>
        <w:rPr>
          <w:rStyle w:val="af4"/>
        </w:rPr>
        <w:t>fields</w:t>
      </w:r>
      <w:r>
        <w:t>オプションで指定したフィールドの値を基準に、既存の内部IPアドレスリストからIPアドレスオブジェクトを検索し、該当する場合は入力レコードの情報で更新します。IPアドレスでオブジェクトが見つからない場合は新規作成します。</w:t>
      </w:r>
    </w:p>
    <w:p>
      <w:r>
        <w:t>入力レコードには必ず</w:t>
      </w:r>
      <w:r>
        <w:rPr>
          <w:rStyle w:val="af4"/>
        </w:rPr>
        <w:t>ip</w:t>
      </w:r>
      <w:r>
        <w:t>フィールドに有効なIPアドレス値が含まれている必要があります。</w:t>
      </w:r>
      <w:r>
        <w:rPr>
          <w:rStyle w:val="af4"/>
        </w:rPr>
        <w:t>ip</w:t>
      </w:r>
      <w:r>
        <w:t>フィールドの値は文字列型またはIPアドレスタイプのいずれも許容されます。</w:t>
      </w:r>
      <w:r>
        <w:rPr>
          <w:rStyle w:val="af4"/>
        </w:rPr>
        <w:t>ip</w:t>
      </w:r>
      <w:r>
        <w:t>フィールドの値が有効なIPアドレスでない場合、同期に失敗し、</w:t>
      </w:r>
      <w:r>
        <w:rPr>
          <w:rStyle w:val="af4"/>
        </w:rPr>
        <w:t>_error</w:t>
      </w:r>
      <w:r>
        <w:t>フィールドに</w:t>
      </w:r>
      <w:r>
        <w:rPr>
          <w:rStyle w:val="af4"/>
        </w:rPr>
        <w:t>invalid ip</w:t>
      </w:r>
      <w:r>
        <w:t>エラーが出力されます。</w:t>
      </w:r>
      <w:r>
        <w:rPr>
          <w:rStyle w:val="af4"/>
        </w:rPr>
        <w:t>ip</w:t>
      </w:r>
      <w:r>
        <w:t>フィールドの値が</w:t>
      </w:r>
      <w:r>
        <w:rPr>
          <w:rStyle w:val="af4"/>
        </w:rPr>
        <w:t>null</w:t>
      </w:r>
      <w:r>
        <w:t>の場合は、</w:t>
      </w:r>
      <w:r>
        <w:rPr>
          <w:rStyle w:val="af4"/>
        </w:rPr>
        <w:t>_error</w:t>
      </w:r>
      <w:r>
        <w:t>フィールドに</w:t>
      </w:r>
      <w:r>
        <w:rPr>
          <w:rStyle w:val="af4"/>
        </w:rPr>
        <w:t>ip is null</w:t>
      </w:r>
      <w:r>
        <w:t>エラーが出力されます。</w:t>
      </w:r>
    </w:p>
    <w:p>
      <w:r>
        <w:rPr>
          <w:rStyle w:val="af4"/>
        </w:rPr>
        <w:t>fields</w:t>
      </w:r>
      <w:r>
        <w:t>オプションで同期対象フィールドを指定したにもかかわらず、入力レコードに該当フィールドが存在しない場合、そのフィールドの値はnullとなります。逆に、</w:t>
      </w:r>
      <w:r>
        <w:rPr>
          <w:rStyle w:val="af4"/>
        </w:rPr>
        <w:t>fields</w:t>
      </w:r>
      <w:r>
        <w:t>オプションで明示的に同期対象フィールドが指定されていない場合、入力レコードに同名のフィールドが存在していても、その値は同期されません。</w:t>
      </w:r>
    </w:p>
    <w:p>
      <w:pPr>
        <w:pStyle w:val="a7"/>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長さ</w:t>
            </w:r>
          </w:p>
        </w:tc>
        <w:tc>
          <w:tcPr>
            <w:shd w:fill="eeeeee"/>
          </w:tcPr>
          <w:p>
            <w:pPr>
              <w:spacing w:before="0" w:after="0"/>
            </w:pPr>
            <w:r>
              <w:rPr>
                <w:rFonts w:ascii="맑은 고딕" w:hAnsi="맑은 고딕" w:cs="맑은 고딕" w:eastAsia="맑은 고딕"/>
              </w:rPr>
              <w:t>説明</w:t>
            </w:r>
          </w:p>
        </w:tc>
      </w:tr>
      <w:tr>
        <w:tc>
          <w:p>
            <w:pPr>
              <w:spacing w:before="0" w:after="0"/>
            </w:pPr>
            <w:r>
              <w:t>site_guid</w:t>
            </w:r>
          </w:p>
        </w:tc>
        <w:tc>
          <w:p>
            <w:pPr>
              <w:spacing w:before="0" w:after="0"/>
            </w:pPr>
            <w:r>
              <w:t>サイトGUID</w:t>
            </w:r>
          </w:p>
        </w:tc>
        <w:tc>
          <w:p>
            <w:pPr>
              <w:spacing w:before="0" w:after="0"/>
            </w:pPr>
            <w:r>
              <w:t>文字列</w:t>
            </w:r>
          </w:p>
        </w:tc>
        <w:tc>
          <w:p>
            <w:pPr>
              <w:spacing w:before="0" w:after="0"/>
            </w:pPr>
            <w:r>
              <w:t xml:space="preserve"> </w:t>
            </w:r>
          </w:p>
        </w:tc>
        <w:tc>
          <w:p>
            <w:pPr>
              <w:spacing w:before="0" w:after="0"/>
            </w:pPr>
            <w:r>
              <w:t>サイトオブジェクトのGUID</w:t>
            </w:r>
          </w:p>
        </w:tc>
      </w:tr>
      <w:tr>
        <w:tc>
          <w:p>
            <w:pPr>
              <w:spacing w:before="0" w:after="0"/>
            </w:pPr>
            <w:r>
              <w:t>priority</w:t>
            </w:r>
          </w:p>
        </w:tc>
        <w:tc>
          <w:p>
            <w:pPr>
              <w:spacing w:before="0" w:after="0"/>
            </w:pPr>
            <w:r>
              <w:t>重要度</w:t>
            </w:r>
          </w:p>
        </w:tc>
        <w:tc>
          <w:p>
            <w:pPr>
              <w:spacing w:before="0" w:after="0"/>
            </w:pPr>
            <w:r>
              <w:t>32ビット整数</w:t>
            </w:r>
          </w:p>
        </w:tc>
        <w:tc>
          <w:p>
            <w:pPr>
              <w:spacing w:before="0" w:after="0"/>
            </w:pPr>
            <w:r>
              <w:t xml:space="preserve"> </w:t>
            </w:r>
          </w:p>
        </w:tc>
        <w:tc>
          <w:p>
            <w:pPr>
              <w:spacing w:before="0" w:after="0"/>
            </w:pPr>
            <w:r>
              <w:t>3（高）、2（中）、1（低）</w:t>
            </w:r>
          </w:p>
        </w:tc>
      </w:tr>
      <w:tr>
        <w:tc>
          <w:p>
            <w:pPr>
              <w:spacing w:before="0" w:after="0"/>
            </w:pPr>
            <w:r>
              <w:t>category_name</w:t>
            </w:r>
          </w:p>
        </w:tc>
        <w:tc>
          <w:p>
            <w:pPr>
              <w:spacing w:before="0" w:after="0"/>
            </w:pPr>
            <w:r>
              <w:t>デバイス分類</w:t>
            </w:r>
          </w:p>
        </w:tc>
        <w:tc>
          <w:p>
            <w:pPr>
              <w:spacing w:before="0" w:after="0"/>
            </w:pPr>
            <w:r>
              <w:t>文字列</w:t>
            </w:r>
          </w:p>
        </w:tc>
        <w:tc>
          <w:p>
            <w:pPr>
              <w:spacing w:before="0" w:after="0"/>
            </w:pPr>
            <w:r>
              <w:t>255字</w:t>
            </w:r>
          </w:p>
        </w:tc>
        <w:tc>
          <w:p>
            <w:pPr>
              <w:spacing w:before="0" w:after="0"/>
            </w:pPr>
            <w:r>
              <w:t>名称不一致時は未分類として処理</w:t>
            </w:r>
          </w:p>
        </w:tc>
      </w:tr>
      <w:tr>
        <w:tc>
          <w:p>
            <w:pPr>
              <w:spacing w:before="0" w:after="0"/>
            </w:pPr>
            <w:r>
              <w:t>hostname</w:t>
            </w:r>
          </w:p>
        </w:tc>
        <w:tc>
          <w:p>
            <w:pPr>
              <w:spacing w:before="0" w:after="0"/>
            </w:pPr>
            <w:r>
              <w:t>ホスト名</w:t>
            </w:r>
          </w:p>
        </w:tc>
        <w:tc>
          <w:p>
            <w:pPr>
              <w:spacing w:before="0" w:after="0"/>
            </w:pPr>
            <w:r>
              <w:t>文字列</w:t>
            </w:r>
          </w:p>
        </w:tc>
        <w:tc>
          <w:p>
            <w:pPr>
              <w:spacing w:before="0" w:after="0"/>
            </w:pPr>
            <w:r>
              <w:t>255字</w:t>
            </w:r>
          </w:p>
        </w:tc>
        <w:tc>
          <w:p>
            <w:pPr>
              <w:spacing w:before="0" w:after="0"/>
            </w:pPr>
            <w:r>
              <w:t>コンピュータ名またはホスト名</w:t>
            </w:r>
          </w:p>
        </w:tc>
      </w:tr>
      <w:tr>
        <w:tc>
          <w:p>
            <w:pPr>
              <w:spacing w:before="0" w:after="0"/>
            </w:pPr>
            <w:r>
              <w:t>workgroup</w:t>
            </w:r>
          </w:p>
        </w:tc>
        <w:tc>
          <w:p>
            <w:pPr>
              <w:spacing w:before="0" w:after="0"/>
            </w:pPr>
            <w:r>
              <w:t>ワークグループ</w:t>
            </w:r>
          </w:p>
        </w:tc>
        <w:tc>
          <w:p>
            <w:pPr>
              <w:spacing w:before="0" w:after="0"/>
            </w:pPr>
            <w:r>
              <w:t>文字列</w:t>
            </w:r>
          </w:p>
        </w:tc>
        <w:tc>
          <w:p>
            <w:pPr>
              <w:spacing w:before="0" w:after="0"/>
            </w:pPr>
            <w:r>
              <w:t>255字</w:t>
            </w:r>
          </w:p>
        </w:tc>
        <w:tc>
          <w:p>
            <w:pPr>
              <w:spacing w:before="0" w:after="0"/>
            </w:pPr>
            <w:r>
              <w:t>NTドメインまたはワークグループ</w:t>
            </w:r>
          </w:p>
        </w:tc>
      </w:tr>
      <w:tr>
        <w:tc>
          <w:p>
            <w:pPr>
              <w:spacing w:before="0" w:after="0"/>
            </w:pPr>
            <w:r>
              <w:t>emp_key</w:t>
            </w:r>
          </w:p>
        </w:tc>
        <w:tc>
          <w:p>
            <w:pPr>
              <w:spacing w:before="0" w:after="0"/>
            </w:pPr>
            <w:r>
              <w:t>担当者（主）社員番号</w:t>
            </w:r>
          </w:p>
        </w:tc>
        <w:tc>
          <w:p>
            <w:pPr>
              <w:spacing w:before="0" w:after="0"/>
            </w:pPr>
            <w:r>
              <w:t>文字列</w:t>
            </w:r>
          </w:p>
        </w:tc>
        <w:tc>
          <w:p>
            <w:pPr>
              <w:spacing w:before="0" w:after="0"/>
            </w:pPr>
            <w:r>
              <w:t>255字</w:t>
            </w:r>
          </w:p>
        </w:tc>
        <w:tc>
          <w:p>
            <w:pPr>
              <w:spacing w:before="0" w:after="0"/>
            </w:pPr>
            <w:r>
              <w:t>社員番号不一致時は無視</w:t>
            </w:r>
          </w:p>
        </w:tc>
      </w:tr>
      <w:tr>
        <w:tc>
          <w:p>
            <w:pPr>
              <w:spacing w:before="0" w:after="0"/>
            </w:pPr>
            <w:r>
              <w:t>emp_key2</w:t>
            </w:r>
          </w:p>
        </w:tc>
        <w:tc>
          <w:p>
            <w:pPr>
              <w:spacing w:before="0" w:after="0"/>
            </w:pPr>
            <w:r>
              <w:t>担当者（副）社員番号</w:t>
            </w:r>
          </w:p>
        </w:tc>
        <w:tc>
          <w:p>
            <w:pPr>
              <w:spacing w:before="0" w:after="0"/>
            </w:pPr>
            <w:r>
              <w:t>文字列</w:t>
            </w:r>
          </w:p>
        </w:tc>
        <w:tc>
          <w:p>
            <w:pPr>
              <w:spacing w:before="0" w:after="0"/>
            </w:pPr>
            <w:r>
              <w:t>255字</w:t>
            </w:r>
          </w:p>
        </w:tc>
        <w:tc>
          <w:p>
            <w:pPr>
              <w:spacing w:before="0" w:after="0"/>
            </w:pPr>
            <w:r>
              <w:t>社員番号不一致時は無視</w:t>
            </w:r>
          </w:p>
        </w:tc>
      </w:tr>
      <w:tr>
        <w:tc>
          <w:p>
            <w:pPr>
              <w:spacing w:before="0" w:after="0"/>
            </w:pPr>
            <w:r>
              <w:t>description</w:t>
            </w:r>
          </w:p>
        </w:tc>
        <w:tc>
          <w:p>
            <w:pPr>
              <w:spacing w:before="0" w:after="0"/>
            </w:pPr>
            <w:r>
              <w:t>備考</w:t>
            </w:r>
          </w:p>
        </w:tc>
        <w:tc>
          <w:p>
            <w:pPr>
              <w:spacing w:before="0" w:after="0"/>
            </w:pPr>
            <w:r>
              <w:t>文字列</w:t>
            </w:r>
          </w:p>
        </w:tc>
        <w:tc>
          <w:p>
            <w:pPr>
              <w:spacing w:before="0" w:after="0"/>
            </w:pPr>
            <w:r>
              <w:t>2000字</w:t>
            </w:r>
          </w:p>
        </w:tc>
        <w:tc>
          <w:p>
            <w:pPr>
              <w:spacing w:before="0" w:after="0"/>
            </w:pPr>
            <w:r>
              <w:t xml:space="preserve"> </w:t>
            </w:r>
          </w:p>
        </w:tc>
      </w:tr>
      <w:tr>
        <w:tc>
          <w:p>
            <w:pPr>
              <w:spacing w:before="0" w:after="0"/>
            </w:pPr>
            <w:r>
              <w:t>os_name</w:t>
            </w:r>
          </w:p>
        </w:tc>
        <w:tc>
          <w:p>
            <w:pPr>
              <w:spacing w:before="0" w:after="0"/>
            </w:pPr>
            <w:r>
              <w:t>OS名</w:t>
            </w:r>
          </w:p>
        </w:tc>
        <w:tc>
          <w:p>
            <w:pPr>
              <w:spacing w:before="0" w:after="0"/>
            </w:pPr>
            <w:r>
              <w:t>文字列</w:t>
            </w:r>
          </w:p>
        </w:tc>
        <w:tc>
          <w:p>
            <w:pPr>
              <w:spacing w:before="0" w:after="0"/>
            </w:pPr>
            <w:r>
              <w:t>50字</w:t>
            </w:r>
          </w:p>
        </w:tc>
        <w:tc>
          <w:p>
            <w:pPr>
              <w:spacing w:before="0" w:after="0"/>
            </w:pPr>
            <w:r>
              <w:t xml:space="preserve"> </w:t>
            </w:r>
          </w:p>
        </w:tc>
      </w:tr>
      <w:tr>
        <w:tc>
          <w:p>
            <w:pPr>
              <w:spacing w:before="0" w:after="0"/>
            </w:pPr>
            <w:r>
              <w:t>os_ver</w:t>
            </w:r>
          </w:p>
        </w:tc>
        <w:tc>
          <w:p>
            <w:pPr>
              <w:spacing w:before="0" w:after="0"/>
            </w:pPr>
            <w:r>
              <w:t>OSバージョン</w:t>
            </w:r>
          </w:p>
        </w:tc>
        <w:tc>
          <w:p>
            <w:pPr>
              <w:spacing w:before="0" w:after="0"/>
            </w:pPr>
            <w:r>
              <w:t>文字列</w:t>
            </w:r>
          </w:p>
        </w:tc>
        <w:tc>
          <w:p>
            <w:pPr>
              <w:spacing w:before="0" w:after="0"/>
            </w:pPr>
            <w:r>
              <w:t>20字</w:t>
            </w:r>
          </w:p>
        </w:tc>
        <w:tc>
          <w:p>
            <w:pPr>
              <w:spacing w:before="0" w:after="0"/>
            </w:pPr>
            <w:r>
              <w:t xml:space="preserve"> </w:t>
            </w:r>
          </w:p>
        </w:tc>
      </w:tr>
      <w:tr>
        <w:tc>
          <w:p>
            <w:pPr>
              <w:spacing w:before="0" w:after="0"/>
            </w:pPr>
            <w:r>
              <w:t>mac</w:t>
            </w:r>
          </w:p>
        </w:tc>
        <w:tc>
          <w:p>
            <w:pPr>
              <w:spacing w:before="0" w:after="0"/>
            </w:pPr>
            <w:r>
              <w:t>MACアドレス</w:t>
            </w:r>
          </w:p>
        </w:tc>
        <w:tc>
          <w:p>
            <w:pPr>
              <w:spacing w:before="0" w:after="0"/>
            </w:pPr>
            <w:r>
              <w:t>文字列</w:t>
            </w:r>
          </w:p>
        </w:tc>
        <w:tc>
          <w:p>
            <w:pPr>
              <w:spacing w:before="0" w:after="0"/>
            </w:pPr>
            <w:r>
              <w:t>20字</w:t>
            </w:r>
          </w:p>
        </w:tc>
        <w:tc>
          <w:p>
            <w:pPr>
              <w:spacing w:before="0" w:after="0"/>
            </w:pPr>
            <w:r>
              <w:t xml:space="preserve"> </w:t>
            </w:r>
          </w:p>
        </w:tc>
      </w:tr>
      <w:tr>
        <w:tc>
          <w:p>
            <w:pPr>
              <w:spacing w:before="0" w:after="0"/>
            </w:pPr>
            <w:r>
              <w:t>location</w:t>
            </w:r>
          </w:p>
        </w:tc>
        <w:tc>
          <w:p>
            <w:pPr>
              <w:spacing w:before="0" w:after="0"/>
            </w:pPr>
            <w:r>
              <w:t>設置場所</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installed</w:t>
            </w:r>
          </w:p>
        </w:tc>
        <w:tc>
          <w:p>
            <w:pPr>
              <w:spacing w:before="0" w:after="0"/>
            </w:pPr>
            <w:r>
              <w:t>設置日時</w:t>
            </w:r>
          </w:p>
        </w:tc>
        <w:tc>
          <w:p>
            <w:pPr>
              <w:spacing w:before="0" w:after="0"/>
            </w:pPr>
            <w:r>
              <w:t>日付</w:t>
            </w:r>
          </w:p>
        </w:tc>
        <w:tc>
          <w:p>
            <w:pPr>
              <w:spacing w:before="0" w:after="0"/>
            </w:pPr>
            <w:r>
              <w:t xml:space="preserve"> </w:t>
            </w:r>
          </w:p>
        </w:tc>
        <w:tc>
          <w:p>
            <w:pPr>
              <w:spacing w:before="0" w:after="0"/>
            </w:pPr>
            <w:r>
              <w:t xml:space="preserve"> </w:t>
            </w:r>
          </w:p>
        </w:tc>
      </w:tr>
      <w:tr>
        <w:tc>
          <w:p>
            <w:pPr>
              <w:spacing w:before="0" w:after="0"/>
            </w:pPr>
            <w:r>
              <w:t>ext0</w:t>
            </w:r>
          </w:p>
        </w:tc>
        <w:tc>
          <w:p>
            <w:pPr>
              <w:spacing w:before="0" w:after="0"/>
            </w:pPr>
            <w:r>
              <w:t>拡張フィールド#0</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ext1</w:t>
            </w:r>
          </w:p>
        </w:tc>
        <w:tc>
          <w:p>
            <w:pPr>
              <w:spacing w:before="0" w:after="0"/>
            </w:pPr>
            <w:r>
              <w:t>拡張フィールド#1</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ext2</w:t>
            </w:r>
          </w:p>
        </w:tc>
        <w:tc>
          <w:p>
            <w:pPr>
              <w:spacing w:before="0" w:after="0"/>
            </w:pPr>
            <w:r>
              <w:t>拡張フィールド#2</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ext3</w:t>
            </w:r>
          </w:p>
        </w:tc>
        <w:tc>
          <w:p>
            <w:pPr>
              <w:spacing w:before="0" w:after="0"/>
            </w:pPr>
            <w:r>
              <w:t>拡張フィールド#3</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ext4</w:t>
            </w:r>
          </w:p>
        </w:tc>
        <w:tc>
          <w:p>
            <w:pPr>
              <w:spacing w:before="0" w:after="0"/>
            </w:pPr>
            <w:r>
              <w:t>拡張フィールド#4</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ext5</w:t>
            </w:r>
          </w:p>
        </w:tc>
        <w:tc>
          <w:p>
            <w:pPr>
              <w:spacing w:before="0" w:after="0"/>
            </w:pPr>
            <w:r>
              <w:t>拡張フィールド#5</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ext6</w:t>
            </w:r>
          </w:p>
        </w:tc>
        <w:tc>
          <w:p>
            <w:pPr>
              <w:spacing w:before="0" w:after="0"/>
            </w:pPr>
            <w:r>
              <w:t>拡張フィールド#6</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ext7</w:t>
            </w:r>
          </w:p>
        </w:tc>
        <w:tc>
          <w:p>
            <w:pPr>
              <w:spacing w:before="0" w:after="0"/>
            </w:pPr>
            <w:r>
              <w:t>拡張フィールド#7</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ext8</w:t>
            </w:r>
          </w:p>
        </w:tc>
        <w:tc>
          <w:p>
            <w:pPr>
              <w:spacing w:before="0" w:after="0"/>
            </w:pPr>
            <w:r>
              <w:t>拡張フィールド#8</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ext9</w:t>
            </w:r>
          </w:p>
        </w:tc>
        <w:tc>
          <w:p>
            <w:pPr>
              <w:spacing w:before="0" w:after="0"/>
            </w:pPr>
            <w:r>
              <w:t>拡張フィールド#9</w:t>
            </w:r>
          </w:p>
        </w:tc>
        <w:tc>
          <w:p>
            <w:pPr>
              <w:spacing w:before="0" w:after="0"/>
            </w:pPr>
            <w:r>
              <w:t>文字列</w:t>
            </w:r>
          </w:p>
        </w:tc>
        <w:tc>
          <w:p>
            <w:pPr>
              <w:spacing w:before="0" w:after="0"/>
            </w:pPr>
            <w:r>
              <w:t>255字</w:t>
            </w:r>
          </w:p>
        </w:tc>
        <w:tc>
          <w:p>
            <w:pPr>
              <w:spacing w:before="0" w:after="0"/>
            </w:pPr>
            <w:r>
              <w:t xml:space="preserve"> </w:t>
            </w:r>
          </w:p>
        </w:tc>
      </w:tr>
    </w:tbl>
    <w:p>
      <w:pPr>
        <w:numPr>
          <w:numId w:val="6"/>
        </w:numPr>
        <w:spacing w:before="0" w:after="0"/>
        <w:ind w:left="360" w:hanging="360"/>
      </w:pPr>
      <w:r>
        <w:rPr>
          <w:rStyle w:val="af4"/>
        </w:rPr>
        <w:t>category_name</w:t>
      </w:r>
      <w:r>
        <w:t>: デバイス分類名が内部IPリストと一致しない場合、「未分類」として処理されます。</w:t>
      </w:r>
    </w:p>
    <w:p>
      <w:pPr>
        <w:numPr>
          <w:numId w:val="6"/>
        </w:numPr>
        <w:spacing w:before="0" w:after="0"/>
        <w:ind w:left="360" w:hanging="360"/>
      </w:pPr>
      <w:r>
        <w:rPr>
          <w:rStyle w:val="af4"/>
        </w:rPr>
        <w:t>emp_key</w:t>
      </w:r>
      <w:r>
        <w:t xml:space="preserve">, </w:t>
      </w:r>
      <w:r>
        <w:rPr>
          <w:rStyle w:val="af4"/>
        </w:rPr>
        <w:t>emp_key2</w:t>
      </w:r>
      <w:r>
        <w:t>: フィールド値がログプレッソ・ソナーの従業員テーブルで検索できない場合、入力された社員番号は無視されます。</w:t>
      </w:r>
    </w:p>
    <w:p>
      <w:pPr>
        <w:pStyle w:val="af3"/>
      </w:pPr>
      <w:r>
        <w:t>ログプレッソシェルでは、以下のようにソナーのグローバル設定で内部IP資産フィールドをユーザー定義できます。</w:t>
        <w:cr/>
      </w:r>
      <w:r>
        <w:t>logpresso&gt; sonar.setGlobalOption ip_custom_fields "0=メーカー,1=モデル名"</w:t>
      </w:r>
    </w:p>
    <w:p>
      <w:pPr>
        <w:pStyle w:val="a7"/>
      </w:pPr>
      <w:r>
        <w:t>出力フィールド</w:t>
      </w:r>
    </w:p>
    <w:p>
      <w:r>
        <w:t>このコマンドは、入力レコードのすべてのフィールドをそのまま出力しますが、エラーが発生した場合は追加で</w:t>
      </w:r>
      <w:r>
        <w:rPr>
          <w:rStyle w:val="af4"/>
        </w:rPr>
        <w:t>_error</w:t>
      </w:r>
      <w:r>
        <w:t>フィールドを出力します。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_error</w:t>
            </w:r>
          </w:p>
        </w:tc>
        <w:tc>
          <w:p>
            <w:pPr>
              <w:spacing w:before="0" w:after="0"/>
            </w:pPr>
            <w:r>
              <w:t>文字列</w:t>
            </w:r>
          </w:p>
        </w:tc>
        <w:tc>
          <w:p>
            <w:pPr>
              <w:spacing w:before="0" w:after="0"/>
            </w:pPr>
            <w:r>
              <w:t>エラー内容</w:t>
            </w:r>
          </w:p>
        </w:tc>
      </w:tr>
    </w:tbl>
    <w:p>
      <w:pPr>
        <w:pStyle w:val="4"/>
      </w:pPr>
      <w:r>
        <w:t>使用例</w:t>
      </w:r>
    </w:p>
    <w:p>
      <w:r>
        <w:t>Genian NAC資産情報の同期</w:t>
      </w:r>
    </w:p>
    <w:p>
      <w:r>
        <w:t>以下の例は、Genian NACアプリの拡張コマンド</w:t>
      </w:r>
      <w:hyperlink r:id="rId11">
        <w:r>
          <w:rPr>
            <w:rStyle w:val="a6"/>
          </w:rPr>
          <w:t>genian-nac-nodes</w:t>
        </w:r>
      </w:hyperlink>
      <w:r>
        <w:t>を使用しています。Genian NACの全IP資産情報をログプレッソ・ソナーに同期することができます。</w:t>
      </w:r>
    </w:p>
    <w:p>
      <w:pPr>
        <w:pStyle w:val="ae"/>
      </w:pPr>
      <w:r>
        <w:t xml:space="preserve">genian-nac-nodes </w:t>
        <w:cr/>
      </w:r>
      <w:r>
        <w:t>| rename nt_domain as workgroup, first_seen as installed, platform as os_name, nic_vendor as ext0, type as category_name</w:t>
        <w:cr/>
      </w:r>
      <w:r>
        <w:t>| eval priority = if(category_name != "PC", 2, 1)</w:t>
        <w:cr/>
      </w:r>
      <w:r>
        <w:t>| sonar-set-ip-address batchsize=10 fields="priority, category_name, hostname, workgroup, emp_key, emp_key2, description, os_name, os_ver, mac, location, installed, ext0"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logpresso.store/ja/apps/genian-nac/commands/genian-nac-nodes"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