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subarray()</w:t>
      </w:r>
    </w:p>
    <w:p>
      <w:r>
        <w:t>指定した配列の部分配列を返します。</w:t>
      </w:r>
    </w:p>
    <w:p>
      <w:pPr>
        <w:pStyle w:val="4"/>
      </w:pPr>
      <w:r>
        <w:t>構文</w:t>
      </w:r>
    </w:p>
    <w:p>
      <w:pPr>
        <w:pStyle w:val="ab"/>
      </w:pPr>
      <w:r>
        <w:t>subarray(ARRAY_EXPR, INT_START, [INT_END])</w:t>
      </w:r>
    </w:p>
    <w:p>
      <w:r>
        <w:rPr>
          <w:rStyle w:val="af4"/>
          <w:b w:val="on"/>
        </w:rPr>
        <w:t>ARRAY_EXPR</w:t>
      </w:r>
    </w:p>
    <w:p>
      <w:pPr>
        <w:ind w:left="400"/>
      </w:pPr>
      <w:r>
        <w:t>配列を返す式</w:t>
      </w:r>
    </w:p>
    <w:p>
      <w:r>
        <w:rPr>
          <w:rStyle w:val="af4"/>
          <w:b w:val="on"/>
        </w:rPr>
        <w:t>INT_START</w:t>
      </w:r>
    </w:p>
    <w:p>
      <w:pPr>
        <w:ind w:left="400"/>
      </w:pPr>
      <w:r>
        <w:t xml:space="preserve">配列から切り出す区間の開始インデックス番号。番号は </w:t>
      </w:r>
      <w:r>
        <w:rPr>
          <w:rStyle w:val="af4"/>
        </w:rPr>
        <w:t>0</w:t>
      </w:r>
      <w:r>
        <w:t xml:space="preserve"> から始まります。</w:t>
      </w:r>
    </w:p>
    <w:p>
      <w:r>
        <w:rPr>
          <w:rStyle w:val="af4"/>
          <w:b w:val="on"/>
        </w:rPr>
        <w:t>INT_END</w:t>
      </w:r>
    </w:p>
    <w:p>
      <w:pPr>
        <w:ind w:left="400"/>
      </w:pPr>
      <w:r>
        <w:t>配列から切り出す区間の終了インデックス番号。終了インデックス番号の配列要素は部分配列に含まれません。</w:t>
      </w:r>
    </w:p>
    <w:p>
      <w:pPr>
        <w:pStyle w:val="4"/>
      </w:pPr>
      <w:r>
        <w:t>説明</w:t>
      </w:r>
    </w:p>
    <w:p>
      <w:r>
        <w:t xml:space="preserve">配列要素のインデックス番号は </w:t>
      </w:r>
      <w:r>
        <w:rPr>
          <w:rStyle w:val="af4"/>
        </w:rPr>
        <w:t>0</w:t>
      </w:r>
      <w:r>
        <w:t xml:space="preserve"> から始まります。5つの要素を持つ配列の場合、インデックス番号は順に </w:t>
      </w:r>
      <w:r>
        <w:rPr>
          <w:rStyle w:val="af4"/>
        </w:rPr>
        <w:t>0</w:t>
      </w:r>
      <w:r>
        <w:t xml:space="preserve">, </w:t>
      </w:r>
      <w:r>
        <w:rPr>
          <w:rStyle w:val="af4"/>
        </w:rPr>
        <w:t>1</w:t>
      </w:r>
      <w:r>
        <w:t xml:space="preserve">, </w:t>
      </w:r>
      <w:r>
        <w:rPr>
          <w:rStyle w:val="af4"/>
        </w:rPr>
        <w:t>2</w:t>
      </w:r>
      <w:r>
        <w:t xml:space="preserve">, </w:t>
      </w:r>
      <w:r>
        <w:rPr>
          <w:rStyle w:val="af4"/>
        </w:rPr>
        <w:t>3</w:t>
      </w:r>
      <w:r>
        <w:t xml:space="preserve">, </w:t>
      </w:r>
      <w:r>
        <w:rPr>
          <w:rStyle w:val="af4"/>
        </w:rPr>
        <w:t>4</w:t>
      </w:r>
      <w:r>
        <w:t xml:space="preserve"> となります。</w:t>
      </w:r>
      <w:r>
        <w:rPr>
          <w:rStyle w:val="af4"/>
        </w:rPr>
        <w:t>INT_START</w:t>
      </w:r>
      <w:r>
        <w:t xml:space="preserve"> および </w:t>
      </w:r>
      <w:r>
        <w:rPr>
          <w:rStyle w:val="af4"/>
        </w:rPr>
        <w:t>INT_END</w:t>
      </w:r>
      <w:r>
        <w:t xml:space="preserve"> には負の値を指定することもできます。5つの要素を持つ配列で負のインデックス番号を指定する場合、順に </w:t>
      </w:r>
      <w:r>
        <w:rPr>
          <w:rStyle w:val="af4"/>
        </w:rPr>
        <w:t>-5</w:t>
      </w:r>
      <w:r>
        <w:t xml:space="preserve">, </w:t>
      </w:r>
      <w:r>
        <w:rPr>
          <w:rStyle w:val="af4"/>
        </w:rPr>
        <w:t>-4</w:t>
      </w:r>
      <w:r>
        <w:t xml:space="preserve">, </w:t>
      </w:r>
      <w:r>
        <w:rPr>
          <w:rStyle w:val="af4"/>
        </w:rPr>
        <w:t>-3</w:t>
      </w:r>
      <w:r>
        <w:t xml:space="preserve">, </w:t>
      </w:r>
      <w:r>
        <w:rPr>
          <w:rStyle w:val="af4"/>
        </w:rPr>
        <w:t>-2</w:t>
      </w:r>
      <w:r>
        <w:t xml:space="preserve">, </w:t>
      </w:r>
      <w:r>
        <w:rPr>
          <w:rStyle w:val="af4"/>
        </w:rPr>
        <w:t>-1</w:t>
      </w:r>
      <w:r>
        <w:t xml:space="preserve"> となります。</w:t>
      </w:r>
    </w:p>
    <w:p>
      <w:pPr>
        <w:pStyle w:val="4"/>
      </w:pPr>
      <w:r>
        <w:t>使用例</w:t>
      </w:r>
    </w:p>
    <w:p>
      <w:r>
        <w:t>一般的な使用例</w:t>
      </w:r>
    </w:p>
    <w:p>
      <w:pPr>
        <w:pStyle w:val="ae"/>
      </w:pPr>
      <w:r>
        <w:t>json "{}"</w:t>
        <w:cr/>
      </w:r>
      <w:r>
        <w:t xml:space="preserve">    | eval parent=array(1, 2, 3, 4, 5)</w:t>
        <w:cr/>
      </w:r>
      <w:r>
        <w:t xml:space="preserve">    | eval child=subarray(parent, 2)</w:t>
        <w:cr/>
      </w:r>
      <w:r>
        <w:t xml:space="preserve">    | # 返り値: </w:t>
        <w:cr/>
      </w:r>
      <w:r>
        <w:t xml:space="preserve">        parent: [1, 2, 3, 4, 5]</w:t>
        <w:cr/>
      </w:r>
      <w:r>
        <w:t xml:space="preserve">        child: [3, 4, 5]</w:t>
      </w:r>
    </w:p>
    <w:p>
      <w:pPr>
        <w:pStyle w:val="ae"/>
      </w:pPr>
      <w:r>
        <w:t>json "{}"</w:t>
        <w:cr/>
      </w:r>
      <w:r>
        <w:t xml:space="preserve">    | eval arr=subarray(array(1, 2, 3, 4, 5), 2, 4)</w:t>
        <w:cr/>
      </w:r>
      <w:r>
        <w:t xml:space="preserve">    | # 返り値: </w:t>
        <w:cr/>
      </w:r>
      <w:r>
        <w:t xml:space="preserve">        arr: [3, 4]</w:t>
      </w:r>
    </w:p>
    <w:p>
      <w:pPr>
        <w:pStyle w:val="ae"/>
      </w:pPr>
      <w:r>
        <w:t>json "{}"</w:t>
        <w:cr/>
      </w:r>
      <w:r>
        <w:t xml:space="preserve">    | eval arr=subarray(array(1, 2, 3, 4, 5), 1, -1)</w:t>
        <w:cr/>
      </w:r>
      <w:r>
        <w:t xml:space="preserve">    | # 返り値: </w:t>
        <w:cr/>
      </w:r>
      <w:r>
        <w:t xml:space="preserve">        arr: [2, 3, 4]</w:t>
      </w:r>
    </w:p>
    <w:p>
      <w:r>
        <w:t xml:space="preserve">有効範囲外の </w:t>
      </w:r>
      <w:r>
        <w:rPr>
          <w:rStyle w:val="af4"/>
        </w:rPr>
        <w:t>INT_START</w:t>
      </w:r>
      <w:r>
        <w:t xml:space="preserve"> または </w:t>
      </w:r>
      <w:r>
        <w:rPr>
          <w:rStyle w:val="af4"/>
        </w:rPr>
        <w:t>INT_END</w:t>
      </w:r>
      <w:r>
        <w:t xml:space="preserve"> を指定した例</w:t>
      </w:r>
    </w:p>
    <w:p>
      <w:pPr>
        <w:pStyle w:val="ae"/>
      </w:pPr>
      <w:r>
        <w:t>json "{}"</w:t>
        <w:cr/>
      </w:r>
      <w:r>
        <w:t xml:space="preserve">    | eval arr=subarray(array(1, 2, 3, 4, 5), 5)</w:t>
        <w:cr/>
      </w:r>
      <w:r>
        <w:t xml:space="preserve">    | # 返り値: null</w:t>
      </w:r>
    </w:p>
    <w:p>
      <w:pPr>
        <w:pStyle w:val="ae"/>
      </w:pPr>
      <w:r>
        <w:t>json "{}"</w:t>
        <w:cr/>
      </w:r>
      <w:r>
        <w:t xml:space="preserve">    | eval arr=subarray(array(1, 2, 3, 4, 5), 0, 5)</w:t>
        <w:cr/>
      </w:r>
      <w:r>
        <w:t xml:space="preserve">    | # 返り値:</w:t>
        <w:cr/>
      </w:r>
      <w:r>
        <w:t xml:space="preserve">        arr: [1, 2, 3, 4, 5]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